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D6" w:rsidRPr="00C044C2" w:rsidRDefault="006B4BD6" w:rsidP="006424E1">
      <w:pPr>
        <w:widowControl w:val="0"/>
        <w:jc w:val="center"/>
        <w:rPr>
          <w:b/>
          <w:bCs/>
          <w:sz w:val="26"/>
          <w:szCs w:val="26"/>
        </w:rPr>
      </w:pPr>
      <w:r w:rsidRPr="00C044C2">
        <w:rPr>
          <w:b/>
          <w:sz w:val="26"/>
          <w:lang w:bidi="en-US"/>
        </w:rPr>
        <w:t>Notice of Essential Fact</w:t>
      </w:r>
    </w:p>
    <w:p w:rsidR="006B4BD6" w:rsidRPr="00C044C2" w:rsidRDefault="006B4BD6" w:rsidP="006424E1">
      <w:pPr>
        <w:widowControl w:val="0"/>
        <w:jc w:val="center"/>
        <w:rPr>
          <w:b/>
          <w:bCs/>
          <w:sz w:val="26"/>
          <w:szCs w:val="26"/>
        </w:rPr>
      </w:pPr>
      <w:r w:rsidRPr="00C044C2">
        <w:rPr>
          <w:b/>
          <w:sz w:val="26"/>
          <w:lang w:bidi="en-US"/>
        </w:rPr>
        <w:t xml:space="preserve">“Information on Certain Decisions Taken by the Board of Directors of the Issuer” </w:t>
      </w:r>
    </w:p>
    <w:p w:rsidR="006F1D60" w:rsidRPr="00C044C2" w:rsidRDefault="006B4BD6" w:rsidP="006424E1">
      <w:pPr>
        <w:widowControl w:val="0"/>
        <w:jc w:val="center"/>
        <w:rPr>
          <w:b/>
          <w:bCs/>
          <w:sz w:val="26"/>
          <w:szCs w:val="26"/>
        </w:rPr>
      </w:pPr>
      <w:r w:rsidRPr="00C044C2">
        <w:rPr>
          <w:b/>
          <w:sz w:val="26"/>
          <w:lang w:bidi="en-US"/>
        </w:rPr>
        <w:t>(Insider Information Disclosure)</w:t>
      </w:r>
    </w:p>
    <w:p w:rsidR="006B4BD6" w:rsidRPr="00C044C2" w:rsidRDefault="006B4BD6" w:rsidP="006424E1">
      <w:pPr>
        <w:widowControl w:val="0"/>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284"/>
        <w:gridCol w:w="2835"/>
        <w:gridCol w:w="2126"/>
      </w:tblGrid>
      <w:tr w:rsidR="00137C8F" w:rsidRPr="00C044C2" w:rsidTr="00FE6E08">
        <w:trPr>
          <w:trHeight w:val="20"/>
          <w:jc w:val="center"/>
        </w:trPr>
        <w:tc>
          <w:tcPr>
            <w:tcW w:w="10485" w:type="dxa"/>
            <w:gridSpan w:val="4"/>
            <w:vAlign w:val="center"/>
          </w:tcPr>
          <w:p w:rsidR="00137C8F" w:rsidRPr="00C044C2" w:rsidRDefault="00137C8F" w:rsidP="006424E1">
            <w:pPr>
              <w:widowControl w:val="0"/>
              <w:autoSpaceDE/>
              <w:autoSpaceDN/>
              <w:spacing w:after="60"/>
              <w:jc w:val="center"/>
              <w:rPr>
                <w:sz w:val="26"/>
                <w:szCs w:val="26"/>
              </w:rPr>
            </w:pPr>
            <w:r w:rsidRPr="00C044C2">
              <w:rPr>
                <w:sz w:val="26"/>
                <w:lang w:bidi="en-US"/>
              </w:rPr>
              <w:t>1. General data</w:t>
            </w:r>
          </w:p>
        </w:tc>
      </w:tr>
      <w:tr w:rsidR="00137C8F" w:rsidRPr="00C044C2" w:rsidTr="002A41E5">
        <w:trPr>
          <w:trHeight w:val="20"/>
          <w:jc w:val="center"/>
        </w:trPr>
        <w:tc>
          <w:tcPr>
            <w:tcW w:w="5240" w:type="dxa"/>
            <w:vAlign w:val="center"/>
          </w:tcPr>
          <w:p w:rsidR="00137C8F" w:rsidRPr="00C044C2" w:rsidRDefault="00137C8F" w:rsidP="006424E1">
            <w:pPr>
              <w:widowControl w:val="0"/>
              <w:ind w:left="57"/>
              <w:rPr>
                <w:sz w:val="26"/>
                <w:szCs w:val="26"/>
              </w:rPr>
            </w:pPr>
            <w:r w:rsidRPr="00C044C2">
              <w:rPr>
                <w:sz w:val="26"/>
                <w:lang w:bidi="en-US"/>
              </w:rPr>
              <w:t>1.1. Issuer's full business name</w:t>
            </w:r>
          </w:p>
        </w:tc>
        <w:tc>
          <w:tcPr>
            <w:tcW w:w="5245" w:type="dxa"/>
            <w:gridSpan w:val="3"/>
          </w:tcPr>
          <w:p w:rsidR="00137C8F" w:rsidRPr="00C044C2" w:rsidRDefault="00137C8F" w:rsidP="006424E1">
            <w:pPr>
              <w:widowControl w:val="0"/>
              <w:ind w:left="57"/>
              <w:rPr>
                <w:sz w:val="26"/>
                <w:szCs w:val="26"/>
              </w:rPr>
            </w:pPr>
            <w:r w:rsidRPr="00C044C2">
              <w:rPr>
                <w:sz w:val="26"/>
                <w:lang w:bidi="en-US"/>
              </w:rPr>
              <w:t>Interregional Distribution Grid Company of North-West</w:t>
            </w:r>
            <w:r w:rsidR="00C044C2">
              <w:rPr>
                <w:sz w:val="26"/>
                <w:lang w:bidi="en-US"/>
              </w:rPr>
              <w:t>,</w:t>
            </w:r>
            <w:r w:rsidRPr="00C044C2">
              <w:rPr>
                <w:sz w:val="26"/>
                <w:lang w:bidi="en-US"/>
              </w:rPr>
              <w:t xml:space="preserve"> Public Joint Stock Company</w:t>
            </w:r>
          </w:p>
        </w:tc>
      </w:tr>
      <w:tr w:rsidR="00137C8F" w:rsidRPr="00C044C2" w:rsidTr="002A41E5">
        <w:trPr>
          <w:trHeight w:val="20"/>
          <w:jc w:val="center"/>
        </w:trPr>
        <w:tc>
          <w:tcPr>
            <w:tcW w:w="5240" w:type="dxa"/>
            <w:vAlign w:val="center"/>
          </w:tcPr>
          <w:p w:rsidR="00137C8F" w:rsidRPr="00C044C2" w:rsidRDefault="00137C8F" w:rsidP="006424E1">
            <w:pPr>
              <w:widowControl w:val="0"/>
              <w:ind w:left="57"/>
              <w:rPr>
                <w:sz w:val="26"/>
                <w:szCs w:val="26"/>
              </w:rPr>
            </w:pPr>
            <w:r w:rsidRPr="00C044C2">
              <w:rPr>
                <w:sz w:val="26"/>
                <w:lang w:bidi="en-US"/>
              </w:rPr>
              <w:t>1.2. Issuer’s abbreviated business name</w:t>
            </w:r>
          </w:p>
        </w:tc>
        <w:tc>
          <w:tcPr>
            <w:tcW w:w="5245" w:type="dxa"/>
            <w:gridSpan w:val="3"/>
            <w:vAlign w:val="center"/>
          </w:tcPr>
          <w:p w:rsidR="00137C8F" w:rsidRPr="00C044C2" w:rsidRDefault="00137C8F" w:rsidP="006424E1">
            <w:pPr>
              <w:widowControl w:val="0"/>
              <w:ind w:left="57"/>
              <w:rPr>
                <w:sz w:val="26"/>
                <w:szCs w:val="26"/>
              </w:rPr>
            </w:pPr>
            <w:r w:rsidRPr="00C044C2">
              <w:rPr>
                <w:sz w:val="26"/>
                <w:lang w:bidi="en-US"/>
              </w:rPr>
              <w:t>IDGC of North-West, PJSC</w:t>
            </w:r>
          </w:p>
        </w:tc>
      </w:tr>
      <w:tr w:rsidR="00137C8F" w:rsidRPr="00C044C2" w:rsidTr="002A41E5">
        <w:trPr>
          <w:trHeight w:val="20"/>
          <w:jc w:val="center"/>
        </w:trPr>
        <w:tc>
          <w:tcPr>
            <w:tcW w:w="5240" w:type="dxa"/>
            <w:vAlign w:val="center"/>
          </w:tcPr>
          <w:p w:rsidR="00137C8F" w:rsidRPr="00C044C2" w:rsidRDefault="00137C8F" w:rsidP="006424E1">
            <w:pPr>
              <w:widowControl w:val="0"/>
              <w:ind w:left="57"/>
              <w:rPr>
                <w:sz w:val="26"/>
                <w:szCs w:val="26"/>
              </w:rPr>
            </w:pPr>
            <w:r w:rsidRPr="00C044C2">
              <w:rPr>
                <w:sz w:val="26"/>
                <w:lang w:bidi="en-US"/>
              </w:rPr>
              <w:t>1.3. Issuer’s place of business</w:t>
            </w:r>
          </w:p>
        </w:tc>
        <w:tc>
          <w:tcPr>
            <w:tcW w:w="5245" w:type="dxa"/>
            <w:gridSpan w:val="3"/>
          </w:tcPr>
          <w:p w:rsidR="00DA715F" w:rsidRPr="00C044C2" w:rsidRDefault="00DA715F" w:rsidP="006424E1">
            <w:pPr>
              <w:widowControl w:val="0"/>
              <w:ind w:left="57" w:right="57"/>
              <w:rPr>
                <w:sz w:val="26"/>
                <w:szCs w:val="26"/>
              </w:rPr>
            </w:pPr>
            <w:r w:rsidRPr="00C044C2">
              <w:rPr>
                <w:sz w:val="26"/>
                <w:lang w:bidi="en-US"/>
              </w:rPr>
              <w:t xml:space="preserve">Saint Petersburg, Russia </w:t>
            </w:r>
          </w:p>
          <w:p w:rsidR="00137C8F" w:rsidRPr="00C044C2" w:rsidRDefault="00137C8F" w:rsidP="000B6AB6">
            <w:pPr>
              <w:widowControl w:val="0"/>
              <w:rPr>
                <w:sz w:val="26"/>
                <w:szCs w:val="26"/>
              </w:rPr>
            </w:pPr>
          </w:p>
        </w:tc>
      </w:tr>
      <w:tr w:rsidR="00137C8F" w:rsidRPr="00C044C2" w:rsidTr="002A41E5">
        <w:trPr>
          <w:trHeight w:val="20"/>
          <w:jc w:val="center"/>
        </w:trPr>
        <w:tc>
          <w:tcPr>
            <w:tcW w:w="5240" w:type="dxa"/>
          </w:tcPr>
          <w:p w:rsidR="00137C8F" w:rsidRPr="00C044C2" w:rsidRDefault="00137C8F" w:rsidP="006424E1">
            <w:pPr>
              <w:widowControl w:val="0"/>
              <w:spacing w:before="40" w:after="40"/>
              <w:ind w:left="57"/>
              <w:rPr>
                <w:sz w:val="26"/>
                <w:szCs w:val="26"/>
              </w:rPr>
            </w:pPr>
            <w:r w:rsidRPr="00C044C2">
              <w:rPr>
                <w:sz w:val="26"/>
                <w:lang w:bidi="en-US"/>
              </w:rPr>
              <w:t>1.4. Issuer’s OGRN (Primary State Registration Number)</w:t>
            </w:r>
          </w:p>
        </w:tc>
        <w:tc>
          <w:tcPr>
            <w:tcW w:w="5245" w:type="dxa"/>
            <w:gridSpan w:val="3"/>
          </w:tcPr>
          <w:p w:rsidR="00137C8F" w:rsidRPr="00C044C2" w:rsidRDefault="00137C8F" w:rsidP="006424E1">
            <w:pPr>
              <w:widowControl w:val="0"/>
              <w:spacing w:before="40" w:after="40"/>
              <w:ind w:left="57"/>
              <w:rPr>
                <w:sz w:val="26"/>
                <w:szCs w:val="26"/>
              </w:rPr>
            </w:pPr>
            <w:r w:rsidRPr="00C044C2">
              <w:rPr>
                <w:sz w:val="26"/>
                <w:lang w:bidi="en-US"/>
              </w:rPr>
              <w:t>1047855175785</w:t>
            </w:r>
          </w:p>
        </w:tc>
      </w:tr>
      <w:tr w:rsidR="00137C8F" w:rsidRPr="00C044C2" w:rsidTr="002A41E5">
        <w:trPr>
          <w:trHeight w:val="20"/>
          <w:jc w:val="center"/>
        </w:trPr>
        <w:tc>
          <w:tcPr>
            <w:tcW w:w="5240" w:type="dxa"/>
          </w:tcPr>
          <w:p w:rsidR="00137C8F" w:rsidRPr="00C044C2" w:rsidRDefault="00137C8F" w:rsidP="006424E1">
            <w:pPr>
              <w:widowControl w:val="0"/>
              <w:spacing w:before="40" w:after="40"/>
              <w:ind w:left="57"/>
              <w:rPr>
                <w:sz w:val="26"/>
                <w:szCs w:val="26"/>
              </w:rPr>
            </w:pPr>
            <w:r w:rsidRPr="00C044C2">
              <w:rPr>
                <w:sz w:val="26"/>
                <w:lang w:bidi="en-US"/>
              </w:rPr>
              <w:t>1.5. Issuer’s INN (Taxpayer Identification Number)</w:t>
            </w:r>
          </w:p>
        </w:tc>
        <w:tc>
          <w:tcPr>
            <w:tcW w:w="5245" w:type="dxa"/>
            <w:gridSpan w:val="3"/>
          </w:tcPr>
          <w:p w:rsidR="00137C8F" w:rsidRPr="00C044C2" w:rsidRDefault="00137C8F" w:rsidP="008E51CC">
            <w:pPr>
              <w:widowControl w:val="0"/>
              <w:spacing w:before="40" w:after="40"/>
              <w:ind w:left="57"/>
              <w:rPr>
                <w:sz w:val="26"/>
                <w:szCs w:val="26"/>
              </w:rPr>
            </w:pPr>
            <w:r w:rsidRPr="00C044C2">
              <w:rPr>
                <w:sz w:val="26"/>
                <w:lang w:bidi="en-US"/>
              </w:rPr>
              <w:t>7802312751</w:t>
            </w:r>
          </w:p>
        </w:tc>
      </w:tr>
      <w:tr w:rsidR="00137C8F" w:rsidRPr="00C044C2" w:rsidTr="002A41E5">
        <w:trPr>
          <w:trHeight w:val="644"/>
          <w:jc w:val="center"/>
        </w:trPr>
        <w:tc>
          <w:tcPr>
            <w:tcW w:w="5240" w:type="dxa"/>
          </w:tcPr>
          <w:p w:rsidR="00137C8F" w:rsidRPr="00C044C2" w:rsidRDefault="00137C8F" w:rsidP="006424E1">
            <w:pPr>
              <w:widowControl w:val="0"/>
              <w:ind w:left="57"/>
              <w:rPr>
                <w:sz w:val="26"/>
                <w:szCs w:val="26"/>
              </w:rPr>
            </w:pPr>
            <w:r w:rsidRPr="00C044C2">
              <w:rPr>
                <w:sz w:val="26"/>
                <w:lang w:bidi="en-US"/>
              </w:rPr>
              <w:t>1.6. Issuer’s unique code assigned by the registration body</w:t>
            </w:r>
          </w:p>
        </w:tc>
        <w:tc>
          <w:tcPr>
            <w:tcW w:w="5245" w:type="dxa"/>
            <w:gridSpan w:val="3"/>
            <w:vAlign w:val="center"/>
          </w:tcPr>
          <w:p w:rsidR="00137C8F" w:rsidRPr="00C044C2" w:rsidRDefault="00137C8F" w:rsidP="006424E1">
            <w:pPr>
              <w:widowControl w:val="0"/>
              <w:ind w:left="57"/>
              <w:rPr>
                <w:sz w:val="26"/>
                <w:szCs w:val="26"/>
              </w:rPr>
            </w:pPr>
            <w:r w:rsidRPr="00C044C2">
              <w:rPr>
                <w:sz w:val="26"/>
                <w:lang w:bidi="en-US"/>
              </w:rPr>
              <w:t>03347-D</w:t>
            </w:r>
          </w:p>
        </w:tc>
      </w:tr>
      <w:tr w:rsidR="00137C8F" w:rsidRPr="00C044C2" w:rsidTr="002A41E5">
        <w:trPr>
          <w:trHeight w:val="20"/>
          <w:jc w:val="center"/>
        </w:trPr>
        <w:tc>
          <w:tcPr>
            <w:tcW w:w="5240" w:type="dxa"/>
          </w:tcPr>
          <w:p w:rsidR="00D53E09" w:rsidRPr="00C044C2" w:rsidRDefault="00137C8F" w:rsidP="006424E1">
            <w:pPr>
              <w:widowControl w:val="0"/>
              <w:ind w:left="57"/>
              <w:rPr>
                <w:sz w:val="26"/>
                <w:szCs w:val="26"/>
              </w:rPr>
            </w:pPr>
            <w:r w:rsidRPr="00C044C2">
              <w:rPr>
                <w:sz w:val="26"/>
                <w:lang w:bidi="en-US"/>
              </w:rPr>
              <w:t>1.7. Web page address used by the Issuer for information disclosure</w:t>
            </w:r>
          </w:p>
        </w:tc>
        <w:tc>
          <w:tcPr>
            <w:tcW w:w="5245" w:type="dxa"/>
            <w:gridSpan w:val="3"/>
          </w:tcPr>
          <w:p w:rsidR="00FC317A" w:rsidRPr="00C044C2" w:rsidRDefault="00894C88" w:rsidP="00FC317A">
            <w:pPr>
              <w:widowControl w:val="0"/>
              <w:ind w:left="57"/>
              <w:rPr>
                <w:b/>
                <w:i/>
                <w:color w:val="0033CC"/>
                <w:sz w:val="26"/>
                <w:szCs w:val="26"/>
              </w:rPr>
            </w:pPr>
            <w:hyperlink r:id="rId8" w:history="1">
              <w:r w:rsidR="00FC317A" w:rsidRPr="00C044C2">
                <w:rPr>
                  <w:rStyle w:val="ab"/>
                  <w:b/>
                  <w:i/>
                  <w:color w:val="0033CC"/>
                  <w:sz w:val="26"/>
                  <w:lang w:bidi="en-US"/>
                </w:rPr>
                <w:t>http://www.e-disclosure.ru/portal/company.aspx?id=12761</w:t>
              </w:r>
            </w:hyperlink>
            <w:r w:rsidR="00270F37" w:rsidRPr="00C044C2">
              <w:rPr>
                <w:b/>
                <w:i/>
                <w:color w:val="0033CC"/>
                <w:sz w:val="26"/>
                <w:lang w:bidi="en-US"/>
              </w:rPr>
              <w:t>,</w:t>
            </w:r>
          </w:p>
          <w:p w:rsidR="00FC317A" w:rsidRPr="00C044C2" w:rsidRDefault="00894C88" w:rsidP="00FC317A">
            <w:pPr>
              <w:widowControl w:val="0"/>
              <w:ind w:left="57"/>
              <w:rPr>
                <w:b/>
                <w:i/>
                <w:color w:val="0033CC"/>
                <w:sz w:val="26"/>
                <w:szCs w:val="26"/>
              </w:rPr>
            </w:pPr>
            <w:hyperlink r:id="rId9" w:history="1">
              <w:r w:rsidR="00FC317A" w:rsidRPr="00C044C2">
                <w:rPr>
                  <w:rStyle w:val="ab"/>
                  <w:b/>
                  <w:i/>
                  <w:color w:val="0033CC"/>
                  <w:sz w:val="26"/>
                  <w:lang w:bidi="en-US"/>
                </w:rPr>
                <w:t>http://www.mrsksevzap.ru</w:t>
              </w:r>
            </w:hyperlink>
          </w:p>
          <w:p w:rsidR="00057715" w:rsidRPr="00C044C2" w:rsidRDefault="00057715" w:rsidP="006424E1">
            <w:pPr>
              <w:widowControl w:val="0"/>
              <w:ind w:left="57"/>
              <w:rPr>
                <w:sz w:val="26"/>
                <w:szCs w:val="26"/>
              </w:rPr>
            </w:pPr>
          </w:p>
        </w:tc>
      </w:tr>
      <w:tr w:rsidR="00D02937" w:rsidRPr="00C044C2" w:rsidTr="002A41E5">
        <w:trPr>
          <w:trHeight w:val="20"/>
          <w:jc w:val="center"/>
        </w:trPr>
        <w:tc>
          <w:tcPr>
            <w:tcW w:w="5240" w:type="dxa"/>
          </w:tcPr>
          <w:p w:rsidR="00D02937" w:rsidRPr="00C044C2" w:rsidRDefault="00FC42D6" w:rsidP="006424E1">
            <w:pPr>
              <w:widowControl w:val="0"/>
              <w:ind w:left="57"/>
              <w:rPr>
                <w:sz w:val="26"/>
                <w:szCs w:val="26"/>
              </w:rPr>
            </w:pPr>
            <w:r w:rsidRPr="00C044C2">
              <w:rPr>
                <w:sz w:val="26"/>
                <w:lang w:bidi="en-US"/>
              </w:rPr>
              <w:t xml:space="preserve">1.8. Date of occurrence of the event (essential fact)  about which the notice is drawn up (if applicable) </w:t>
            </w:r>
          </w:p>
        </w:tc>
        <w:tc>
          <w:tcPr>
            <w:tcW w:w="5245" w:type="dxa"/>
            <w:gridSpan w:val="3"/>
          </w:tcPr>
          <w:p w:rsidR="00D02937" w:rsidRPr="00C044C2" w:rsidRDefault="00C044C2" w:rsidP="006424E1">
            <w:pPr>
              <w:widowControl w:val="0"/>
              <w:ind w:left="57"/>
              <w:rPr>
                <w:b/>
                <w:sz w:val="26"/>
                <w:szCs w:val="26"/>
              </w:rPr>
            </w:pPr>
            <w:r>
              <w:rPr>
                <w:b/>
                <w:sz w:val="26"/>
                <w:lang w:bidi="en-US"/>
              </w:rPr>
              <w:t>September 29, 2020</w:t>
            </w:r>
          </w:p>
        </w:tc>
      </w:tr>
      <w:tr w:rsidR="00137C8F" w:rsidRPr="00C044C2"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rsidR="00137C8F" w:rsidRPr="00C044C2" w:rsidRDefault="00137C8F" w:rsidP="006424E1">
            <w:pPr>
              <w:widowControl w:val="0"/>
              <w:autoSpaceDE/>
              <w:autoSpaceDN/>
              <w:spacing w:after="60"/>
              <w:jc w:val="center"/>
              <w:rPr>
                <w:sz w:val="26"/>
                <w:szCs w:val="26"/>
              </w:rPr>
            </w:pPr>
            <w:r w:rsidRPr="00C044C2">
              <w:rPr>
                <w:sz w:val="26"/>
                <w:lang w:bidi="en-US"/>
              </w:rPr>
              <w:t>2. Content of the Notice</w:t>
            </w:r>
          </w:p>
        </w:tc>
      </w:tr>
      <w:tr w:rsidR="00137C8F" w:rsidRPr="00C044C2"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rsidR="00424501" w:rsidRPr="00C044C2" w:rsidRDefault="00D652A0" w:rsidP="006424E1">
            <w:pPr>
              <w:widowControl w:val="0"/>
              <w:autoSpaceDE/>
              <w:autoSpaceDN/>
              <w:ind w:left="112" w:right="252"/>
              <w:contextualSpacing/>
              <w:jc w:val="both"/>
              <w:rPr>
                <w:sz w:val="26"/>
                <w:szCs w:val="26"/>
              </w:rPr>
            </w:pPr>
            <w:r w:rsidRPr="00C044C2">
              <w:rPr>
                <w:sz w:val="26"/>
                <w:lang w:bidi="en-US"/>
              </w:rPr>
              <w:t xml:space="preserve">2.1. Quorum of the session of the Board of Directors of the Issuer and the results of decision-making voting: </w:t>
            </w:r>
          </w:p>
          <w:p w:rsidR="00424501" w:rsidRPr="00C044C2" w:rsidRDefault="00424501" w:rsidP="006424E1">
            <w:pPr>
              <w:widowControl w:val="0"/>
              <w:autoSpaceDE/>
              <w:autoSpaceDN/>
              <w:ind w:left="112" w:right="252"/>
              <w:contextualSpacing/>
              <w:jc w:val="both"/>
              <w:rPr>
                <w:sz w:val="26"/>
                <w:szCs w:val="26"/>
              </w:rPr>
            </w:pPr>
            <w:r w:rsidRPr="00C044C2">
              <w:rPr>
                <w:sz w:val="26"/>
                <w:lang w:bidi="en-US"/>
              </w:rPr>
              <w:t xml:space="preserve">The quorum of the meeting of the Board of Directors: </w:t>
            </w:r>
            <w:proofErr w:type="gramStart"/>
            <w:r w:rsidRPr="00C044C2">
              <w:rPr>
                <w:sz w:val="26"/>
                <w:lang w:bidi="en-US"/>
              </w:rPr>
              <w:t>11 out of the 11 members of the Board of Directors participated in the meeting</w:t>
            </w:r>
            <w:proofErr w:type="gramEnd"/>
            <w:r w:rsidRPr="00C044C2">
              <w:rPr>
                <w:sz w:val="26"/>
                <w:lang w:bidi="en-US"/>
              </w:rPr>
              <w:t xml:space="preserve">, </w:t>
            </w:r>
            <w:proofErr w:type="gramStart"/>
            <w:r w:rsidRPr="00C044C2">
              <w:rPr>
                <w:sz w:val="26"/>
                <w:lang w:bidi="en-US"/>
              </w:rPr>
              <w:t>the required quorum was present</w:t>
            </w:r>
            <w:proofErr w:type="gramEnd"/>
            <w:r w:rsidRPr="00C044C2">
              <w:rPr>
                <w:sz w:val="26"/>
                <w:lang w:bidi="en-US"/>
              </w:rPr>
              <w:t>.</w:t>
            </w:r>
          </w:p>
          <w:p w:rsidR="00424501" w:rsidRPr="00C044C2" w:rsidRDefault="00424501" w:rsidP="006424E1">
            <w:pPr>
              <w:widowControl w:val="0"/>
              <w:autoSpaceDE/>
              <w:autoSpaceDN/>
              <w:ind w:left="112" w:right="252"/>
              <w:contextualSpacing/>
              <w:jc w:val="both"/>
              <w:rPr>
                <w:sz w:val="26"/>
                <w:szCs w:val="26"/>
              </w:rPr>
            </w:pPr>
            <w:r w:rsidRPr="00C044C2">
              <w:rPr>
                <w:sz w:val="26"/>
                <w:lang w:bidi="en-US"/>
              </w:rPr>
              <w:t>Results of voting on the issues:</w:t>
            </w:r>
          </w:p>
          <w:p w:rsidR="00946CEA" w:rsidRPr="00C044C2" w:rsidRDefault="008467FD" w:rsidP="0088600A">
            <w:pPr>
              <w:widowControl w:val="0"/>
              <w:autoSpaceDE/>
              <w:autoSpaceDN/>
              <w:ind w:left="112" w:right="57"/>
              <w:contextualSpacing/>
              <w:jc w:val="both"/>
              <w:rPr>
                <w:sz w:val="26"/>
                <w:szCs w:val="26"/>
              </w:rPr>
            </w:pPr>
            <w:r w:rsidRPr="00C044C2">
              <w:rPr>
                <w:b/>
                <w:sz w:val="26"/>
                <w:lang w:bidi="en-US"/>
              </w:rPr>
              <w:t>ISSUE No. 1:</w:t>
            </w:r>
            <w:r w:rsidRPr="00C044C2">
              <w:rPr>
                <w:sz w:val="26"/>
                <w:lang w:bidi="en-US"/>
              </w:rPr>
              <w:t xml:space="preserve"> FOR – 9, AGAINST – 0, ABSTAINED – 2;</w:t>
            </w:r>
          </w:p>
          <w:p w:rsidR="000D7BE8" w:rsidRPr="00C044C2" w:rsidRDefault="00BB44AD" w:rsidP="009B2182">
            <w:pPr>
              <w:widowControl w:val="0"/>
              <w:autoSpaceDE/>
              <w:autoSpaceDN/>
              <w:ind w:left="112" w:right="114"/>
              <w:contextualSpacing/>
              <w:jc w:val="both"/>
              <w:rPr>
                <w:sz w:val="26"/>
                <w:szCs w:val="26"/>
              </w:rPr>
            </w:pPr>
            <w:r w:rsidRPr="00C044C2">
              <w:rPr>
                <w:b/>
                <w:sz w:val="26"/>
                <w:lang w:bidi="en-US"/>
              </w:rPr>
              <w:t>ISSUE No. 2:</w:t>
            </w:r>
            <w:r w:rsidRPr="00C044C2">
              <w:rPr>
                <w:sz w:val="26"/>
                <w:lang w:bidi="en-US"/>
              </w:rPr>
              <w:t xml:space="preserve"> FOR – 10, AGAINST – 0, ABSTAINED – 1;</w:t>
            </w:r>
          </w:p>
          <w:p w:rsidR="000851B0" w:rsidRPr="00C044C2" w:rsidRDefault="000851B0" w:rsidP="000851B0">
            <w:pPr>
              <w:widowControl w:val="0"/>
              <w:autoSpaceDE/>
              <w:autoSpaceDN/>
              <w:ind w:left="112" w:right="114"/>
              <w:contextualSpacing/>
              <w:jc w:val="both"/>
              <w:rPr>
                <w:sz w:val="26"/>
                <w:szCs w:val="26"/>
              </w:rPr>
            </w:pPr>
            <w:r w:rsidRPr="00C044C2">
              <w:rPr>
                <w:b/>
                <w:sz w:val="26"/>
                <w:lang w:bidi="en-US"/>
              </w:rPr>
              <w:t>ISSUE No. 3:</w:t>
            </w:r>
            <w:r w:rsidRPr="00C044C2">
              <w:rPr>
                <w:sz w:val="26"/>
                <w:lang w:bidi="en-US"/>
              </w:rPr>
              <w:t xml:space="preserve"> FOR – 10, AGAINST – 0, ABSTAINED – 1;</w:t>
            </w:r>
          </w:p>
          <w:p w:rsidR="000851B0" w:rsidRPr="00C044C2" w:rsidRDefault="000851B0" w:rsidP="000851B0">
            <w:pPr>
              <w:widowControl w:val="0"/>
              <w:autoSpaceDE/>
              <w:autoSpaceDN/>
              <w:ind w:left="112" w:right="114"/>
              <w:contextualSpacing/>
              <w:jc w:val="both"/>
              <w:rPr>
                <w:sz w:val="26"/>
                <w:szCs w:val="26"/>
              </w:rPr>
            </w:pPr>
            <w:r w:rsidRPr="00C044C2">
              <w:rPr>
                <w:b/>
                <w:sz w:val="26"/>
                <w:lang w:bidi="en-US"/>
              </w:rPr>
              <w:t>ISSUE No. 4:</w:t>
            </w:r>
            <w:r w:rsidRPr="00C044C2">
              <w:rPr>
                <w:sz w:val="26"/>
                <w:lang w:bidi="en-US"/>
              </w:rPr>
              <w:t xml:space="preserve"> FOR – 11, AGAINST – 0, ABSTAINED – 0;</w:t>
            </w:r>
          </w:p>
          <w:p w:rsidR="000851B0" w:rsidRPr="00C044C2" w:rsidRDefault="000851B0" w:rsidP="000851B0">
            <w:pPr>
              <w:widowControl w:val="0"/>
              <w:autoSpaceDE/>
              <w:autoSpaceDN/>
              <w:ind w:left="112" w:right="114"/>
              <w:contextualSpacing/>
              <w:jc w:val="both"/>
              <w:rPr>
                <w:sz w:val="26"/>
                <w:szCs w:val="26"/>
              </w:rPr>
            </w:pPr>
            <w:r w:rsidRPr="00C044C2">
              <w:rPr>
                <w:b/>
                <w:sz w:val="26"/>
                <w:lang w:bidi="en-US"/>
              </w:rPr>
              <w:t>ISSUE No. 5:</w:t>
            </w:r>
          </w:p>
          <w:p w:rsidR="00F979F4" w:rsidRPr="00C044C2" w:rsidRDefault="00F979F4" w:rsidP="00F979F4">
            <w:pPr>
              <w:widowControl w:val="0"/>
              <w:autoSpaceDE/>
              <w:autoSpaceDN/>
              <w:ind w:left="112" w:right="57"/>
              <w:contextualSpacing/>
              <w:jc w:val="both"/>
              <w:rPr>
                <w:sz w:val="24"/>
                <w:szCs w:val="24"/>
              </w:rPr>
            </w:pPr>
            <w:r w:rsidRPr="00C044C2">
              <w:rPr>
                <w:sz w:val="24"/>
                <w:lang w:bidi="en-US"/>
              </w:rPr>
              <w:t xml:space="preserve">Item </w:t>
            </w:r>
            <w:r w:rsidR="00BA70AF">
              <w:rPr>
                <w:sz w:val="24"/>
                <w:lang w:bidi="en-US"/>
              </w:rPr>
              <w:t xml:space="preserve">No. </w:t>
            </w:r>
            <w:r w:rsidRPr="00C044C2">
              <w:rPr>
                <w:sz w:val="24"/>
                <w:lang w:bidi="en-US"/>
              </w:rPr>
              <w:t>1: FOR – 11, AGAINST – 0, ABSTAINED – 0;</w:t>
            </w:r>
          </w:p>
          <w:p w:rsidR="00F979F4" w:rsidRPr="00C044C2" w:rsidRDefault="00F979F4" w:rsidP="00F979F4">
            <w:pPr>
              <w:widowControl w:val="0"/>
              <w:autoSpaceDE/>
              <w:autoSpaceDN/>
              <w:ind w:left="112" w:right="114"/>
              <w:contextualSpacing/>
              <w:jc w:val="both"/>
              <w:rPr>
                <w:sz w:val="24"/>
                <w:szCs w:val="24"/>
              </w:rPr>
            </w:pPr>
            <w:r w:rsidRPr="00C044C2">
              <w:rPr>
                <w:sz w:val="24"/>
                <w:lang w:bidi="en-US"/>
              </w:rPr>
              <w:t>Item No.</w:t>
            </w:r>
            <w:r w:rsidR="00BA70AF">
              <w:rPr>
                <w:sz w:val="24"/>
                <w:lang w:bidi="en-US"/>
              </w:rPr>
              <w:t xml:space="preserve"> </w:t>
            </w:r>
            <w:r w:rsidRPr="00C044C2">
              <w:rPr>
                <w:sz w:val="24"/>
                <w:lang w:bidi="en-US"/>
              </w:rPr>
              <w:t>2: FOR – 11, AGAINST – 0, ABSTAINED – 0;</w:t>
            </w:r>
          </w:p>
          <w:p w:rsidR="000851B0" w:rsidRPr="00C044C2" w:rsidRDefault="000851B0" w:rsidP="00411D54">
            <w:pPr>
              <w:widowControl w:val="0"/>
              <w:autoSpaceDE/>
              <w:autoSpaceDN/>
              <w:ind w:right="114"/>
              <w:contextualSpacing/>
              <w:jc w:val="both"/>
              <w:rPr>
                <w:sz w:val="26"/>
                <w:szCs w:val="26"/>
              </w:rPr>
            </w:pPr>
          </w:p>
          <w:p w:rsidR="00424501" w:rsidRPr="00C044C2" w:rsidRDefault="00424501" w:rsidP="009B2182">
            <w:pPr>
              <w:widowControl w:val="0"/>
              <w:autoSpaceDE/>
              <w:autoSpaceDN/>
              <w:ind w:left="112" w:right="114"/>
              <w:contextualSpacing/>
              <w:jc w:val="both"/>
              <w:rPr>
                <w:sz w:val="26"/>
                <w:szCs w:val="26"/>
              </w:rPr>
            </w:pPr>
            <w:r w:rsidRPr="00C044C2">
              <w:rPr>
                <w:sz w:val="26"/>
                <w:lang w:bidi="en-US"/>
              </w:rPr>
              <w:t>2.2. Contents of resolutions approved by the Board of Directors of the Issuer:</w:t>
            </w:r>
          </w:p>
          <w:p w:rsidR="00D96EE6" w:rsidRPr="00C044C2" w:rsidRDefault="00FA1520" w:rsidP="00D96EE6">
            <w:pPr>
              <w:widowControl w:val="0"/>
              <w:autoSpaceDE/>
              <w:autoSpaceDN/>
              <w:ind w:left="112" w:right="114"/>
              <w:contextualSpacing/>
              <w:jc w:val="both"/>
              <w:rPr>
                <w:b/>
                <w:bCs/>
                <w:sz w:val="26"/>
                <w:szCs w:val="26"/>
              </w:rPr>
            </w:pPr>
            <w:r w:rsidRPr="00C044C2">
              <w:rPr>
                <w:b/>
                <w:sz w:val="26"/>
                <w:lang w:bidi="en-US"/>
              </w:rPr>
              <w:t>ISSUE No. 1: On approval of the schedule plan of IDGC of North-West, PJSC for measures for reduction of the amount of overdue receivables for electric energy transfer services and settlement of dispu</w:t>
            </w:r>
            <w:r w:rsidR="009863F3">
              <w:rPr>
                <w:b/>
                <w:sz w:val="26"/>
                <w:lang w:bidi="en-US"/>
              </w:rPr>
              <w:t>tes existing as of July 1, 2020</w:t>
            </w:r>
          </w:p>
          <w:p w:rsidR="00FA1520" w:rsidRPr="00C044C2" w:rsidRDefault="00FA1520" w:rsidP="00FA1520">
            <w:pPr>
              <w:widowControl w:val="0"/>
              <w:autoSpaceDE/>
              <w:autoSpaceDN/>
              <w:ind w:left="112" w:right="114"/>
              <w:contextualSpacing/>
              <w:jc w:val="both"/>
              <w:rPr>
                <w:bCs/>
                <w:sz w:val="26"/>
                <w:szCs w:val="26"/>
              </w:rPr>
            </w:pPr>
            <w:r w:rsidRPr="00C044C2">
              <w:rPr>
                <w:sz w:val="26"/>
                <w:lang w:bidi="en-US"/>
              </w:rPr>
              <w:t>1. Approve the schedule plan of IDGC of North-West, PJSC for measures for reduction of the amount of overdue receivables for electric energy transfer services and settlement of disputes existing as of July 1, 2020 in accordance with Appendix No. 1 to the decision of the Board of Directors of the Company.</w:t>
            </w:r>
          </w:p>
          <w:p w:rsidR="00FA1520" w:rsidRPr="00C044C2" w:rsidRDefault="00FA1520" w:rsidP="00FA1520">
            <w:pPr>
              <w:widowControl w:val="0"/>
              <w:autoSpaceDE/>
              <w:autoSpaceDN/>
              <w:ind w:left="112" w:right="114"/>
              <w:contextualSpacing/>
              <w:jc w:val="both"/>
              <w:rPr>
                <w:bCs/>
                <w:sz w:val="26"/>
                <w:szCs w:val="26"/>
              </w:rPr>
            </w:pPr>
            <w:proofErr w:type="gramStart"/>
            <w:r w:rsidRPr="00C044C2">
              <w:rPr>
                <w:sz w:val="26"/>
                <w:lang w:bidi="en-US"/>
              </w:rPr>
              <w:t xml:space="preserve">2. Take under advisement  the information on the Timetable of Measures to reduce overdue </w:t>
            </w:r>
            <w:r w:rsidRPr="00C044C2">
              <w:rPr>
                <w:sz w:val="26"/>
                <w:lang w:bidi="en-US"/>
              </w:rPr>
              <w:lastRenderedPageBreak/>
              <w:t>accounts receivables for electric energy transmission services and settle disputes, which was previously approved by the Board of Directors and relates to the indebtedness as of the beginning of the previous quarter, in accordance with Appendix No. 2 to the decision of the Board of Directors of the Company.</w:t>
            </w:r>
            <w:proofErr w:type="gramEnd"/>
            <w:r w:rsidRPr="00C044C2">
              <w:rPr>
                <w:sz w:val="26"/>
                <w:lang w:bidi="en-US"/>
              </w:rPr>
              <w:t xml:space="preserve"> </w:t>
            </w:r>
          </w:p>
          <w:p w:rsidR="00FA1520" w:rsidRPr="00C044C2" w:rsidRDefault="00FA1520" w:rsidP="00FA1520">
            <w:pPr>
              <w:widowControl w:val="0"/>
              <w:autoSpaceDE/>
              <w:autoSpaceDN/>
              <w:ind w:left="112" w:right="114"/>
              <w:contextualSpacing/>
              <w:jc w:val="both"/>
              <w:rPr>
                <w:bCs/>
                <w:sz w:val="26"/>
                <w:szCs w:val="26"/>
              </w:rPr>
            </w:pPr>
            <w:r w:rsidRPr="00C044C2">
              <w:rPr>
                <w:sz w:val="26"/>
                <w:lang w:bidi="en-US"/>
              </w:rPr>
              <w:t xml:space="preserve">3. According to the results of Q2 2020, note the poor-quality planning by the Company of the indicator </w:t>
            </w:r>
            <w:r w:rsidR="009863F3">
              <w:rPr>
                <w:sz w:val="26"/>
                <w:lang w:bidi="en-US"/>
              </w:rPr>
              <w:t>“</w:t>
            </w:r>
            <w:r w:rsidRPr="00C044C2">
              <w:rPr>
                <w:sz w:val="26"/>
                <w:lang w:bidi="en-US"/>
              </w:rPr>
              <w:t>repayment</w:t>
            </w:r>
            <w:r w:rsidR="009863F3">
              <w:rPr>
                <w:sz w:val="26"/>
                <w:lang w:bidi="en-US"/>
              </w:rPr>
              <w:t>/</w:t>
            </w:r>
            <w:r w:rsidRPr="00C044C2">
              <w:rPr>
                <w:sz w:val="26"/>
                <w:lang w:bidi="en-US"/>
              </w:rPr>
              <w:t>reduction of overdue debts</w:t>
            </w:r>
            <w:r w:rsidR="009863F3">
              <w:rPr>
                <w:sz w:val="26"/>
                <w:lang w:bidi="en-US"/>
              </w:rPr>
              <w:t>”</w:t>
            </w:r>
            <w:r w:rsidRPr="00C044C2">
              <w:rPr>
                <w:sz w:val="26"/>
                <w:lang w:bidi="en-US"/>
              </w:rPr>
              <w:t xml:space="preserve"> (with the plan of RUR 1,774.3 million, the actual value was RUR 3,279.1 million).</w:t>
            </w:r>
          </w:p>
          <w:p w:rsidR="00FA1520" w:rsidRPr="00C044C2" w:rsidRDefault="00FA1520" w:rsidP="00FA1520">
            <w:pPr>
              <w:widowControl w:val="0"/>
              <w:autoSpaceDE/>
              <w:autoSpaceDN/>
              <w:ind w:left="112" w:right="114"/>
              <w:contextualSpacing/>
              <w:jc w:val="both"/>
              <w:rPr>
                <w:bCs/>
                <w:sz w:val="26"/>
                <w:szCs w:val="26"/>
              </w:rPr>
            </w:pPr>
            <w:r w:rsidRPr="00C044C2">
              <w:rPr>
                <w:sz w:val="26"/>
                <w:lang w:bidi="en-US"/>
              </w:rPr>
              <w:t>4. Take under advisement the information:</w:t>
            </w:r>
          </w:p>
          <w:p w:rsidR="00FA1520" w:rsidRPr="00C044C2" w:rsidRDefault="00FA1520" w:rsidP="00FA1520">
            <w:pPr>
              <w:widowControl w:val="0"/>
              <w:autoSpaceDE/>
              <w:autoSpaceDN/>
              <w:ind w:left="112" w:right="114"/>
              <w:contextualSpacing/>
              <w:jc w:val="both"/>
              <w:rPr>
                <w:bCs/>
                <w:sz w:val="26"/>
                <w:szCs w:val="26"/>
              </w:rPr>
            </w:pPr>
            <w:r w:rsidRPr="00C044C2">
              <w:rPr>
                <w:sz w:val="26"/>
                <w:lang w:bidi="en-US"/>
              </w:rPr>
              <w:t>- on execution of the order of the Board of Directors dated March 31, 2020 (Minutes No.</w:t>
            </w:r>
            <w:r w:rsidR="009863F3">
              <w:rPr>
                <w:sz w:val="26"/>
                <w:lang w:bidi="en-US"/>
              </w:rPr>
              <w:t> </w:t>
            </w:r>
            <w:r w:rsidRPr="00C044C2">
              <w:rPr>
                <w:sz w:val="26"/>
                <w:lang w:bidi="en-US"/>
              </w:rPr>
              <w:t>357/34) in relation to repayment in 2020 of the amount of overdue debts from the amount of debts as of January 1, 2020;</w:t>
            </w:r>
          </w:p>
          <w:p w:rsidR="00FA1520" w:rsidRPr="00C044C2" w:rsidRDefault="00FA1520" w:rsidP="00FA1520">
            <w:pPr>
              <w:widowControl w:val="0"/>
              <w:autoSpaceDE/>
              <w:autoSpaceDN/>
              <w:ind w:left="112" w:right="114"/>
              <w:contextualSpacing/>
              <w:jc w:val="both"/>
              <w:rPr>
                <w:bCs/>
                <w:sz w:val="26"/>
                <w:szCs w:val="26"/>
              </w:rPr>
            </w:pPr>
            <w:r w:rsidRPr="00C044C2">
              <w:rPr>
                <w:sz w:val="26"/>
                <w:lang w:bidi="en-US"/>
              </w:rPr>
              <w:t>- on work conducted with respect to new overdue indebtedness, and turnover of accounts receivables for electric energy transmission services in Q2 2020;</w:t>
            </w:r>
          </w:p>
          <w:p w:rsidR="00FA1520" w:rsidRPr="00C044C2" w:rsidRDefault="00FA1520" w:rsidP="00FA1520">
            <w:pPr>
              <w:widowControl w:val="0"/>
              <w:autoSpaceDE/>
              <w:autoSpaceDN/>
              <w:ind w:left="112" w:right="114"/>
              <w:contextualSpacing/>
              <w:jc w:val="both"/>
              <w:rPr>
                <w:bCs/>
                <w:sz w:val="26"/>
                <w:szCs w:val="26"/>
              </w:rPr>
            </w:pPr>
            <w:r w:rsidRPr="00C044C2">
              <w:rPr>
                <w:sz w:val="26"/>
                <w:lang w:bidi="en-US"/>
              </w:rPr>
              <w:t>- on work conducted with respect to new overdue accounts receivable from the debtors accounting for more than 10 % of the total overdue indebtedness;</w:t>
            </w:r>
          </w:p>
          <w:p w:rsidR="00FA1520" w:rsidRPr="00C044C2" w:rsidRDefault="00FA1520" w:rsidP="00FA1520">
            <w:pPr>
              <w:widowControl w:val="0"/>
              <w:autoSpaceDE/>
              <w:autoSpaceDN/>
              <w:ind w:left="112" w:right="114"/>
              <w:contextualSpacing/>
              <w:jc w:val="both"/>
              <w:rPr>
                <w:bCs/>
                <w:sz w:val="26"/>
                <w:szCs w:val="26"/>
              </w:rPr>
            </w:pPr>
            <w:r w:rsidRPr="00C044C2">
              <w:rPr>
                <w:sz w:val="26"/>
                <w:lang w:bidi="en-US"/>
              </w:rPr>
              <w:t xml:space="preserve">- </w:t>
            </w:r>
            <w:proofErr w:type="gramStart"/>
            <w:r w:rsidRPr="00C044C2">
              <w:rPr>
                <w:sz w:val="26"/>
                <w:lang w:bidi="en-US"/>
              </w:rPr>
              <w:t>on</w:t>
            </w:r>
            <w:proofErr w:type="gramEnd"/>
            <w:r w:rsidRPr="00C044C2">
              <w:rPr>
                <w:sz w:val="26"/>
                <w:lang w:bidi="en-US"/>
              </w:rPr>
              <w:t xml:space="preserve"> dealing with major debtors accompanied with assessment of non-payment risks, status and assessment of possibility of debt collection through enforcement proceedings.</w:t>
            </w:r>
          </w:p>
          <w:p w:rsidR="00FA1520" w:rsidRPr="00C044C2" w:rsidRDefault="00FA1520" w:rsidP="00FA1520">
            <w:pPr>
              <w:widowControl w:val="0"/>
              <w:autoSpaceDE/>
              <w:autoSpaceDN/>
              <w:ind w:left="112" w:right="114"/>
              <w:contextualSpacing/>
              <w:jc w:val="both"/>
              <w:rPr>
                <w:bCs/>
                <w:sz w:val="26"/>
                <w:szCs w:val="26"/>
              </w:rPr>
            </w:pPr>
            <w:r w:rsidRPr="00C044C2">
              <w:rPr>
                <w:sz w:val="26"/>
                <w:lang w:bidi="en-US"/>
              </w:rPr>
              <w:t>5. Note the fulfillment by the Company of the planned indicator of repayment of overdue accounts receivable, which developed as of January 1, 2020 (with the plan of RUR 835.3 million, the actual value was RUR 2,932.1 million) according to the results of H1 2020.</w:t>
            </w:r>
          </w:p>
          <w:p w:rsidR="00553A01" w:rsidRPr="00C044C2" w:rsidRDefault="00553A01" w:rsidP="009B2182">
            <w:pPr>
              <w:widowControl w:val="0"/>
              <w:autoSpaceDE/>
              <w:autoSpaceDN/>
              <w:ind w:left="112" w:right="114"/>
              <w:contextualSpacing/>
              <w:jc w:val="both"/>
              <w:rPr>
                <w:b/>
                <w:sz w:val="26"/>
                <w:szCs w:val="26"/>
              </w:rPr>
            </w:pPr>
            <w:r w:rsidRPr="00C044C2">
              <w:rPr>
                <w:b/>
                <w:sz w:val="26"/>
                <w:lang w:bidi="en-US"/>
              </w:rPr>
              <w:t>Decision taken.</w:t>
            </w:r>
          </w:p>
          <w:p w:rsidR="005209AD" w:rsidRPr="00C044C2" w:rsidRDefault="005209AD" w:rsidP="009B2182">
            <w:pPr>
              <w:widowControl w:val="0"/>
              <w:autoSpaceDE/>
              <w:autoSpaceDN/>
              <w:ind w:left="112" w:right="114"/>
              <w:contextualSpacing/>
              <w:jc w:val="both"/>
              <w:rPr>
                <w:b/>
                <w:sz w:val="26"/>
                <w:szCs w:val="26"/>
              </w:rPr>
            </w:pPr>
          </w:p>
          <w:p w:rsidR="00640BC3" w:rsidRPr="00C044C2" w:rsidRDefault="00640BC3" w:rsidP="00640BC3">
            <w:pPr>
              <w:widowControl w:val="0"/>
              <w:autoSpaceDE/>
              <w:autoSpaceDN/>
              <w:ind w:left="112" w:right="114"/>
              <w:contextualSpacing/>
              <w:jc w:val="both"/>
              <w:rPr>
                <w:b/>
                <w:sz w:val="26"/>
                <w:szCs w:val="26"/>
              </w:rPr>
            </w:pPr>
            <w:r w:rsidRPr="00C044C2">
              <w:rPr>
                <w:b/>
                <w:sz w:val="26"/>
                <w:lang w:bidi="en-US"/>
              </w:rPr>
              <w:t xml:space="preserve">ISSUE No. 2: On consideration of draft amendments to the investment program of IDGC of North-West, PJSC for 2016 as approved by Order of the Ministry of Energy of Russia </w:t>
            </w:r>
            <w:r w:rsidR="009863F3">
              <w:rPr>
                <w:b/>
                <w:sz w:val="26"/>
                <w:lang w:bidi="en-US"/>
              </w:rPr>
              <w:t xml:space="preserve">No. 906 </w:t>
            </w:r>
            <w:r w:rsidRPr="00C044C2">
              <w:rPr>
                <w:b/>
                <w:sz w:val="26"/>
                <w:lang w:bidi="en-US"/>
              </w:rPr>
              <w:t xml:space="preserve">dated November </w:t>
            </w:r>
            <w:r w:rsidR="00697335" w:rsidRPr="00C044C2">
              <w:rPr>
                <w:b/>
                <w:sz w:val="26"/>
                <w:lang w:bidi="en-US"/>
              </w:rPr>
              <w:t>30</w:t>
            </w:r>
            <w:r w:rsidRPr="00C044C2">
              <w:rPr>
                <w:b/>
                <w:sz w:val="26"/>
                <w:lang w:bidi="en-US"/>
              </w:rPr>
              <w:t xml:space="preserve">, </w:t>
            </w:r>
            <w:r w:rsidR="00697335" w:rsidRPr="00C044C2">
              <w:rPr>
                <w:b/>
                <w:sz w:val="26"/>
                <w:lang w:bidi="en-US"/>
              </w:rPr>
              <w:t>20</w:t>
            </w:r>
            <w:r w:rsidR="00697335">
              <w:rPr>
                <w:b/>
                <w:sz w:val="26"/>
                <w:lang w:bidi="en-US"/>
              </w:rPr>
              <w:t>1</w:t>
            </w:r>
            <w:r w:rsidR="00697335" w:rsidRPr="00C044C2">
              <w:rPr>
                <w:b/>
                <w:sz w:val="26"/>
                <w:lang w:bidi="en-US"/>
              </w:rPr>
              <w:t xml:space="preserve">5 </w:t>
            </w:r>
            <w:r w:rsidRPr="00C044C2">
              <w:rPr>
                <w:b/>
                <w:sz w:val="26"/>
                <w:lang w:bidi="en-US"/>
              </w:rPr>
              <w:t xml:space="preserve">(as reworded by Orders of the Ministry of Energy of Russia </w:t>
            </w:r>
            <w:r w:rsidR="00BA70AF">
              <w:rPr>
                <w:b/>
                <w:sz w:val="26"/>
                <w:lang w:bidi="en-US"/>
              </w:rPr>
              <w:t>No.</w:t>
            </w:r>
            <w:r w:rsidR="009863F3">
              <w:rPr>
                <w:b/>
                <w:sz w:val="26"/>
                <w:lang w:bidi="en-US"/>
              </w:rPr>
              <w:t> 1333</w:t>
            </w:r>
            <w:r w:rsidR="00BA70AF">
              <w:rPr>
                <w:b/>
                <w:sz w:val="26"/>
                <w:lang w:bidi="en-US"/>
              </w:rPr>
              <w:t xml:space="preserve"> </w:t>
            </w:r>
            <w:r w:rsidRPr="00C044C2">
              <w:rPr>
                <w:b/>
                <w:sz w:val="26"/>
                <w:lang w:bidi="en-US"/>
              </w:rPr>
              <w:t xml:space="preserve">dated December 16, </w:t>
            </w:r>
            <w:r w:rsidR="009863F3" w:rsidRPr="00C044C2">
              <w:rPr>
                <w:b/>
                <w:sz w:val="26"/>
                <w:lang w:bidi="en-US"/>
              </w:rPr>
              <w:t xml:space="preserve">2016 </w:t>
            </w:r>
            <w:r w:rsidR="00BA70AF">
              <w:rPr>
                <w:b/>
                <w:sz w:val="26"/>
                <w:lang w:bidi="en-US"/>
              </w:rPr>
              <w:t xml:space="preserve">No. </w:t>
            </w:r>
            <w:r w:rsidR="009863F3">
              <w:rPr>
                <w:b/>
                <w:sz w:val="26"/>
                <w:lang w:bidi="en-US"/>
              </w:rPr>
              <w:t>26</w:t>
            </w:r>
            <w:r w:rsidRPr="00C044C2">
              <w:rPr>
                <w:b/>
                <w:sz w:val="26"/>
                <w:lang w:bidi="en-US"/>
              </w:rPr>
              <w:t xml:space="preserve">@ dated December 21, </w:t>
            </w:r>
            <w:r w:rsidR="009863F3">
              <w:rPr>
                <w:b/>
                <w:sz w:val="26"/>
                <w:lang w:bidi="en-US"/>
              </w:rPr>
              <w:t xml:space="preserve">2018, </w:t>
            </w:r>
            <w:r w:rsidRPr="00C044C2">
              <w:rPr>
                <w:b/>
                <w:sz w:val="26"/>
                <w:lang w:bidi="en-US"/>
              </w:rPr>
              <w:t>No.</w:t>
            </w:r>
            <w:r w:rsidR="009863F3">
              <w:rPr>
                <w:b/>
                <w:sz w:val="26"/>
                <w:lang w:bidi="en-US"/>
              </w:rPr>
              <w:t xml:space="preserve"> 27</w:t>
            </w:r>
            <w:r w:rsidRPr="00C044C2">
              <w:rPr>
                <w:b/>
                <w:sz w:val="26"/>
                <w:lang w:bidi="en-US"/>
              </w:rPr>
              <w:t>@ dated December 2</w:t>
            </w:r>
            <w:r w:rsidR="009863F3">
              <w:rPr>
                <w:b/>
                <w:sz w:val="26"/>
                <w:lang w:bidi="en-US"/>
              </w:rPr>
              <w:t>0</w:t>
            </w:r>
            <w:r w:rsidRPr="00C044C2">
              <w:rPr>
                <w:b/>
                <w:sz w:val="26"/>
                <w:lang w:bidi="en-US"/>
              </w:rPr>
              <w:t>, 20</w:t>
            </w:r>
            <w:r w:rsidR="009863F3">
              <w:rPr>
                <w:b/>
                <w:sz w:val="26"/>
                <w:lang w:bidi="en-US"/>
              </w:rPr>
              <w:t>19</w:t>
            </w:r>
            <w:r w:rsidRPr="00C044C2">
              <w:rPr>
                <w:b/>
                <w:sz w:val="26"/>
                <w:lang w:bidi="en-US"/>
              </w:rPr>
              <w:t>), modified according to the results of the elimination of comm</w:t>
            </w:r>
            <w:r w:rsidR="009863F3">
              <w:rPr>
                <w:b/>
                <w:sz w:val="26"/>
                <w:lang w:bidi="en-US"/>
              </w:rPr>
              <w:t>ents</w:t>
            </w:r>
          </w:p>
          <w:p w:rsidR="00074E64" w:rsidRPr="00C044C2" w:rsidRDefault="00074E64" w:rsidP="00074E64">
            <w:pPr>
              <w:widowControl w:val="0"/>
              <w:autoSpaceDE/>
              <w:autoSpaceDN/>
              <w:ind w:left="112" w:right="114"/>
              <w:contextualSpacing/>
              <w:jc w:val="both"/>
              <w:rPr>
                <w:bCs/>
                <w:sz w:val="26"/>
                <w:szCs w:val="26"/>
              </w:rPr>
            </w:pPr>
            <w:proofErr w:type="gramStart"/>
            <w:r w:rsidRPr="00C044C2">
              <w:rPr>
                <w:sz w:val="26"/>
                <w:lang w:bidi="en-US"/>
              </w:rPr>
              <w:t>1. Approve, for the purpose of sending to the Ministry of Energy of Russia, draft amendments to the Investment Program o</w:t>
            </w:r>
            <w:r w:rsidR="00697335">
              <w:rPr>
                <w:sz w:val="26"/>
                <w:lang w:bidi="en-US"/>
              </w:rPr>
              <w:t xml:space="preserve">f IDGC of North-West, PJSC for </w:t>
            </w:r>
            <w:r w:rsidRPr="00C044C2">
              <w:rPr>
                <w:sz w:val="26"/>
                <w:lang w:bidi="en-US"/>
              </w:rPr>
              <w:t>2016</w:t>
            </w:r>
            <w:r w:rsidR="00697335">
              <w:rPr>
                <w:sz w:val="26"/>
                <w:lang w:bidi="en-US"/>
              </w:rPr>
              <w:t>–</w:t>
            </w:r>
            <w:r w:rsidRPr="00C044C2">
              <w:rPr>
                <w:sz w:val="26"/>
                <w:lang w:bidi="en-US"/>
              </w:rPr>
              <w:t xml:space="preserve">2025 as approved by Order of the Ministry of Energy of Russia </w:t>
            </w:r>
            <w:r w:rsidR="00BA70AF">
              <w:rPr>
                <w:sz w:val="26"/>
                <w:lang w:bidi="en-US"/>
              </w:rPr>
              <w:t xml:space="preserve">No. </w:t>
            </w:r>
            <w:r w:rsidRPr="00C044C2">
              <w:rPr>
                <w:sz w:val="26"/>
                <w:lang w:bidi="en-US"/>
              </w:rPr>
              <w:t xml:space="preserve">906 dated </w:t>
            </w:r>
            <w:r w:rsidR="00697335" w:rsidRPr="00697335">
              <w:rPr>
                <w:sz w:val="26"/>
                <w:lang w:bidi="en-US"/>
              </w:rPr>
              <w:t xml:space="preserve">November 30, 2015 </w:t>
            </w:r>
            <w:r w:rsidRPr="00C044C2">
              <w:rPr>
                <w:sz w:val="26"/>
                <w:lang w:bidi="en-US"/>
              </w:rPr>
              <w:t>(as amended by Order of the Ministry of Energy of Russia No.</w:t>
            </w:r>
            <w:r w:rsidR="00697335">
              <w:rPr>
                <w:sz w:val="26"/>
                <w:lang w:bidi="en-US"/>
              </w:rPr>
              <w:t> </w:t>
            </w:r>
            <w:r w:rsidRPr="00C044C2">
              <w:rPr>
                <w:sz w:val="26"/>
                <w:lang w:bidi="en-US"/>
              </w:rPr>
              <w:t>2</w:t>
            </w:r>
            <w:r w:rsidR="00697335">
              <w:rPr>
                <w:sz w:val="26"/>
                <w:lang w:bidi="en-US"/>
              </w:rPr>
              <w:t>7</w:t>
            </w:r>
            <w:r w:rsidRPr="00C044C2">
              <w:rPr>
                <w:sz w:val="26"/>
                <w:lang w:bidi="en-US"/>
              </w:rPr>
              <w:t xml:space="preserve">@ dated </w:t>
            </w:r>
            <w:r w:rsidR="00697335" w:rsidRPr="00697335">
              <w:rPr>
                <w:sz w:val="26"/>
                <w:lang w:bidi="en-US"/>
              </w:rPr>
              <w:t>December 20, 2019</w:t>
            </w:r>
            <w:r w:rsidRPr="00C044C2">
              <w:rPr>
                <w:sz w:val="26"/>
                <w:lang w:bidi="en-US"/>
              </w:rPr>
              <w:t>), modified according to the results of the elimination of comments.</w:t>
            </w:r>
            <w:proofErr w:type="gramEnd"/>
          </w:p>
          <w:p w:rsidR="00074E64" w:rsidRPr="00C044C2" w:rsidRDefault="00074E64" w:rsidP="00074E64">
            <w:pPr>
              <w:widowControl w:val="0"/>
              <w:autoSpaceDE/>
              <w:autoSpaceDN/>
              <w:ind w:left="112" w:right="114"/>
              <w:contextualSpacing/>
              <w:jc w:val="both"/>
              <w:rPr>
                <w:bCs/>
                <w:sz w:val="26"/>
                <w:szCs w:val="26"/>
              </w:rPr>
            </w:pPr>
            <w:r w:rsidRPr="00C044C2">
              <w:rPr>
                <w:sz w:val="26"/>
                <w:lang w:bidi="en-US"/>
              </w:rPr>
              <w:t>2.</w:t>
            </w:r>
            <w:r w:rsidRPr="00C044C2">
              <w:rPr>
                <w:sz w:val="26"/>
                <w:lang w:bidi="en-US"/>
              </w:rPr>
              <w:tab/>
              <w:t>Instruct General Director of IDGC of North-West, PJSC to:</w:t>
            </w:r>
          </w:p>
          <w:p w:rsidR="00074E64" w:rsidRPr="00C044C2" w:rsidRDefault="00074E64" w:rsidP="00074E64">
            <w:pPr>
              <w:widowControl w:val="0"/>
              <w:autoSpaceDE/>
              <w:autoSpaceDN/>
              <w:ind w:left="112" w:right="114"/>
              <w:contextualSpacing/>
              <w:jc w:val="both"/>
              <w:rPr>
                <w:bCs/>
                <w:sz w:val="26"/>
                <w:szCs w:val="26"/>
              </w:rPr>
            </w:pPr>
            <w:proofErr w:type="gramStart"/>
            <w:r w:rsidRPr="00C044C2">
              <w:rPr>
                <w:sz w:val="26"/>
                <w:lang w:bidi="en-US"/>
              </w:rPr>
              <w:t>2.1.</w:t>
            </w:r>
            <w:r w:rsidRPr="00C044C2">
              <w:rPr>
                <w:sz w:val="26"/>
                <w:lang w:bidi="en-US"/>
              </w:rPr>
              <w:tab/>
              <w:t>Provide the approval of the draft amendments to the investment program of IDGC of North-We</w:t>
            </w:r>
            <w:r w:rsidR="00697335">
              <w:rPr>
                <w:sz w:val="26"/>
                <w:lang w:bidi="en-US"/>
              </w:rPr>
              <w:t>st, PJSC for the period of 2016–</w:t>
            </w:r>
            <w:r w:rsidRPr="00C044C2">
              <w:rPr>
                <w:sz w:val="26"/>
                <w:lang w:bidi="en-US"/>
              </w:rPr>
              <w:t>2025, approved by Order of the Ministry of Energy of Russia dated November 30, 2015 No. 906 (as amended by Order of the Ministry of Energy of Russia No.27@ dated December 20, 2019), in the Ministry of Energy of Russia in accordance with the procedure established by Decree of the Government of the Russian Federation dated December 1, 2009 No. 977 “On investment programs of electric power industry entities”.</w:t>
            </w:r>
            <w:proofErr w:type="gramEnd"/>
          </w:p>
          <w:p w:rsidR="00074E64" w:rsidRPr="00C044C2" w:rsidRDefault="00074E64" w:rsidP="00074E64">
            <w:pPr>
              <w:widowControl w:val="0"/>
              <w:autoSpaceDE/>
              <w:autoSpaceDN/>
              <w:ind w:left="112" w:right="114"/>
              <w:contextualSpacing/>
              <w:jc w:val="both"/>
              <w:rPr>
                <w:bCs/>
                <w:sz w:val="26"/>
                <w:szCs w:val="26"/>
              </w:rPr>
            </w:pPr>
            <w:proofErr w:type="gramStart"/>
            <w:r w:rsidRPr="00C044C2">
              <w:rPr>
                <w:sz w:val="26"/>
                <w:lang w:bidi="en-US"/>
              </w:rPr>
              <w:t>2.2. Submit a report on the implementation of item 2.1 of this decision for consideration by the Board of Directors of IDGC of North-West, PJSC, indicating the reasons for deviations of the approved investment program from the draft investment program approved by the Board of Directors of IDGC of North-West, PJSC (if any), within 30 working days after the approval of draft amendments to the investment program of IDGC of  North-West, PJSC for 2016</w:t>
            </w:r>
            <w:r w:rsidR="00407877">
              <w:rPr>
                <w:sz w:val="26"/>
                <w:lang w:bidi="en-US"/>
              </w:rPr>
              <w:t>–</w:t>
            </w:r>
            <w:r w:rsidRPr="00C044C2">
              <w:rPr>
                <w:sz w:val="26"/>
                <w:lang w:bidi="en-US"/>
              </w:rPr>
              <w:t>2025, approved by order of the Ministry of Energy of Russia dated November 30, 2015 No. 906 (as amended by order of the Ministry of Energy of Russia dated December 20, 2019 No. 27@).</w:t>
            </w:r>
            <w:proofErr w:type="gramEnd"/>
          </w:p>
          <w:p w:rsidR="005209AD" w:rsidRPr="00C044C2" w:rsidRDefault="005209AD" w:rsidP="005209AD">
            <w:pPr>
              <w:widowControl w:val="0"/>
              <w:autoSpaceDE/>
              <w:autoSpaceDN/>
              <w:ind w:left="112" w:right="114"/>
              <w:contextualSpacing/>
              <w:jc w:val="both"/>
              <w:rPr>
                <w:b/>
                <w:sz w:val="26"/>
                <w:szCs w:val="26"/>
              </w:rPr>
            </w:pPr>
            <w:r w:rsidRPr="00C044C2">
              <w:rPr>
                <w:b/>
                <w:sz w:val="26"/>
                <w:lang w:bidi="en-US"/>
              </w:rPr>
              <w:t>Decision taken.</w:t>
            </w:r>
          </w:p>
          <w:p w:rsidR="007A6CF7" w:rsidRPr="00C044C2" w:rsidRDefault="007A6CF7" w:rsidP="005209AD">
            <w:pPr>
              <w:widowControl w:val="0"/>
              <w:autoSpaceDE/>
              <w:autoSpaceDN/>
              <w:ind w:left="112" w:right="114"/>
              <w:contextualSpacing/>
              <w:jc w:val="both"/>
              <w:rPr>
                <w:b/>
                <w:sz w:val="26"/>
                <w:szCs w:val="26"/>
              </w:rPr>
            </w:pPr>
          </w:p>
          <w:p w:rsidR="00E7424B" w:rsidRPr="00C044C2" w:rsidRDefault="00E7424B" w:rsidP="00E7424B">
            <w:pPr>
              <w:widowControl w:val="0"/>
              <w:autoSpaceDE/>
              <w:autoSpaceDN/>
              <w:ind w:left="112" w:right="114"/>
              <w:contextualSpacing/>
              <w:jc w:val="both"/>
              <w:rPr>
                <w:b/>
                <w:sz w:val="26"/>
                <w:szCs w:val="26"/>
              </w:rPr>
            </w:pPr>
            <w:r w:rsidRPr="00C044C2">
              <w:rPr>
                <w:b/>
                <w:sz w:val="26"/>
                <w:lang w:bidi="en-US"/>
              </w:rPr>
              <w:lastRenderedPageBreak/>
              <w:t>ISSUE No. 3: On approval of the report on achievement of the key performance indicators (KPIs) by the General D</w:t>
            </w:r>
            <w:r w:rsidR="00DF1E75">
              <w:rPr>
                <w:b/>
                <w:sz w:val="26"/>
                <w:lang w:bidi="en-US"/>
              </w:rPr>
              <w:t>irector of the Company for 2019</w:t>
            </w:r>
          </w:p>
          <w:p w:rsidR="00E7424B" w:rsidRPr="00C044C2" w:rsidRDefault="00E7424B" w:rsidP="00E7424B">
            <w:pPr>
              <w:widowControl w:val="0"/>
              <w:autoSpaceDE/>
              <w:autoSpaceDN/>
              <w:ind w:left="112" w:right="114"/>
              <w:contextualSpacing/>
              <w:jc w:val="both"/>
              <w:rPr>
                <w:bCs/>
                <w:sz w:val="26"/>
                <w:szCs w:val="26"/>
              </w:rPr>
            </w:pPr>
            <w:r w:rsidRPr="00C044C2">
              <w:rPr>
                <w:sz w:val="26"/>
                <w:lang w:bidi="en-US"/>
              </w:rPr>
              <w:t xml:space="preserve">1. In order to assess the implementation of the KPI </w:t>
            </w:r>
            <w:r w:rsidR="00407877">
              <w:rPr>
                <w:sz w:val="26"/>
                <w:lang w:bidi="en-US"/>
              </w:rPr>
              <w:t>“</w:t>
            </w:r>
            <w:r w:rsidRPr="00C044C2">
              <w:rPr>
                <w:sz w:val="26"/>
                <w:lang w:bidi="en-US"/>
              </w:rPr>
              <w:t>Achieving the level of reliability of services provided</w:t>
            </w:r>
            <w:r w:rsidR="00407877">
              <w:rPr>
                <w:sz w:val="26"/>
                <w:lang w:bidi="en-US"/>
              </w:rPr>
              <w:t>”</w:t>
            </w:r>
            <w:r w:rsidRPr="00C044C2">
              <w:rPr>
                <w:sz w:val="26"/>
                <w:lang w:bidi="en-US"/>
              </w:rPr>
              <w:t xml:space="preserve"> for 2019 and the comparability of data in subsequent periods:</w:t>
            </w:r>
          </w:p>
          <w:p w:rsidR="00E7424B" w:rsidRPr="00C044C2" w:rsidRDefault="00E7424B" w:rsidP="00E7424B">
            <w:pPr>
              <w:widowControl w:val="0"/>
              <w:autoSpaceDE/>
              <w:autoSpaceDN/>
              <w:ind w:left="112" w:right="114"/>
              <w:contextualSpacing/>
              <w:jc w:val="both"/>
              <w:rPr>
                <w:bCs/>
                <w:sz w:val="26"/>
                <w:szCs w:val="26"/>
              </w:rPr>
            </w:pPr>
            <w:r w:rsidRPr="00C044C2">
              <w:rPr>
                <w:sz w:val="26"/>
                <w:lang w:bidi="en-US"/>
              </w:rPr>
              <w:t xml:space="preserve">- consider the implementation of a set of measures in 2019 aimed at increasing the transparency of production processes, observability and controllability of the network as part of the implementation of the concept of </w:t>
            </w:r>
            <w:r w:rsidR="00407877">
              <w:rPr>
                <w:sz w:val="26"/>
                <w:lang w:bidi="en-US"/>
              </w:rPr>
              <w:t>“</w:t>
            </w:r>
            <w:r w:rsidRPr="00C044C2">
              <w:rPr>
                <w:sz w:val="26"/>
                <w:lang w:bidi="en-US"/>
              </w:rPr>
              <w:t>2030 Digital Transformation</w:t>
            </w:r>
            <w:r w:rsidR="00407877">
              <w:rPr>
                <w:sz w:val="26"/>
                <w:lang w:bidi="en-US"/>
              </w:rPr>
              <w:t>”</w:t>
            </w:r>
            <w:r w:rsidRPr="00C044C2">
              <w:rPr>
                <w:sz w:val="26"/>
                <w:lang w:bidi="en-US"/>
              </w:rPr>
              <w:t xml:space="preserve"> in accordance with the strategy for the development of the power grid complex; </w:t>
            </w:r>
          </w:p>
          <w:p w:rsidR="00E7424B" w:rsidRPr="00C044C2" w:rsidRDefault="00E7424B" w:rsidP="00E7424B">
            <w:pPr>
              <w:widowControl w:val="0"/>
              <w:autoSpaceDE/>
              <w:autoSpaceDN/>
              <w:ind w:left="112" w:right="114"/>
              <w:contextualSpacing/>
              <w:jc w:val="both"/>
              <w:rPr>
                <w:bCs/>
                <w:sz w:val="26"/>
                <w:szCs w:val="26"/>
              </w:rPr>
            </w:pPr>
            <w:proofErr w:type="gramStart"/>
            <w:r w:rsidRPr="00C044C2">
              <w:rPr>
                <w:sz w:val="26"/>
                <w:lang w:bidi="en-US"/>
              </w:rPr>
              <w:t>- in accordance with clause 1.7 of the Methodology for Calculating and Assessing the Implementation of the KPIs of the General Director of IDGC of North-West, PJSC (approved by the decision of the Board of Directors on March 31, 2017 (Minutes dated April 3, 2017 No. 235/26) as amended by the decision of the Board of Directors dated June 5, 2018 (Minutes dated June 7, 2018 No. 286/41), dated December 31, 2019 (Minutes dated December 31, 2019 No. 344/21) recognize the KPIs as fulfilled for 2019, depreciation in terms of these KPIs do not exercise.</w:t>
            </w:r>
            <w:proofErr w:type="gramEnd"/>
          </w:p>
          <w:p w:rsidR="00E7424B" w:rsidRPr="00C044C2" w:rsidRDefault="00E7424B" w:rsidP="00E7424B">
            <w:pPr>
              <w:widowControl w:val="0"/>
              <w:autoSpaceDE/>
              <w:autoSpaceDN/>
              <w:ind w:left="112" w:right="114"/>
              <w:contextualSpacing/>
              <w:jc w:val="both"/>
              <w:rPr>
                <w:bCs/>
                <w:sz w:val="26"/>
                <w:szCs w:val="26"/>
              </w:rPr>
            </w:pPr>
            <w:r w:rsidRPr="00C044C2">
              <w:rPr>
                <w:sz w:val="26"/>
                <w:lang w:bidi="en-US"/>
              </w:rPr>
              <w:t>2. Approve the Report on Implementation of Key Performance Indicators (KPIs) of the General Director of IDGC of North-West, PJSC for 2019 in accordance with Appendix No. 3 to this decision of the Board of Directors of the Company.</w:t>
            </w:r>
          </w:p>
          <w:p w:rsidR="005209AD" w:rsidRPr="00C044C2" w:rsidRDefault="00413023" w:rsidP="009B2182">
            <w:pPr>
              <w:widowControl w:val="0"/>
              <w:autoSpaceDE/>
              <w:autoSpaceDN/>
              <w:ind w:left="112" w:right="114"/>
              <w:contextualSpacing/>
              <w:jc w:val="both"/>
              <w:rPr>
                <w:sz w:val="26"/>
                <w:szCs w:val="26"/>
              </w:rPr>
            </w:pPr>
            <w:r w:rsidRPr="00C044C2">
              <w:rPr>
                <w:b/>
                <w:sz w:val="26"/>
                <w:lang w:bidi="en-US"/>
              </w:rPr>
              <w:t>Decision taken.</w:t>
            </w:r>
          </w:p>
          <w:p w:rsidR="009673C3" w:rsidRPr="00C044C2" w:rsidRDefault="009673C3" w:rsidP="0044286B">
            <w:pPr>
              <w:widowControl w:val="0"/>
              <w:autoSpaceDE/>
              <w:autoSpaceDN/>
              <w:ind w:right="114"/>
              <w:contextualSpacing/>
              <w:jc w:val="both"/>
              <w:rPr>
                <w:b/>
                <w:sz w:val="26"/>
                <w:szCs w:val="26"/>
              </w:rPr>
            </w:pPr>
          </w:p>
          <w:p w:rsidR="009974E3" w:rsidRPr="00C044C2" w:rsidRDefault="009974E3" w:rsidP="009D48BD">
            <w:pPr>
              <w:widowControl w:val="0"/>
              <w:tabs>
                <w:tab w:val="left" w:pos="251"/>
              </w:tabs>
              <w:adjustRightInd w:val="0"/>
              <w:ind w:left="109" w:right="114"/>
              <w:contextualSpacing/>
              <w:jc w:val="both"/>
              <w:rPr>
                <w:b/>
                <w:bCs/>
                <w:sz w:val="26"/>
                <w:szCs w:val="26"/>
              </w:rPr>
            </w:pPr>
            <w:r w:rsidRPr="00C044C2">
              <w:rPr>
                <w:b/>
                <w:sz w:val="26"/>
                <w:lang w:bidi="en-US"/>
              </w:rPr>
              <w:t xml:space="preserve">ISSUE No. 4: On monitoring the Company's activities as to technological connection of consumers to distribution electric power grids, including contractual work and general statistics of connection with regard to separate </w:t>
            </w:r>
            <w:r w:rsidR="003337FA">
              <w:rPr>
                <w:b/>
                <w:sz w:val="26"/>
                <w:lang w:bidi="en-US"/>
              </w:rPr>
              <w:t>groups of consumers for Q1 2020</w:t>
            </w:r>
          </w:p>
          <w:p w:rsidR="009974E3" w:rsidRPr="00C044C2" w:rsidRDefault="009974E3" w:rsidP="009974E3">
            <w:pPr>
              <w:widowControl w:val="0"/>
              <w:autoSpaceDE/>
              <w:autoSpaceDN/>
              <w:ind w:left="109" w:right="114"/>
              <w:contextualSpacing/>
              <w:jc w:val="both"/>
              <w:rPr>
                <w:bCs/>
                <w:sz w:val="26"/>
                <w:szCs w:val="26"/>
              </w:rPr>
            </w:pPr>
            <w:r w:rsidRPr="00C044C2">
              <w:rPr>
                <w:sz w:val="26"/>
                <w:lang w:bidi="en-US"/>
              </w:rPr>
              <w:t>Take under advisement the Information of the results of monitoring of the performance of IDGC of North-West, PJSC on technological connection of consumers to distribution grids, including contract work and general statistics of connection subject to certain consumer groups, for Q1 2020 in accordance with Appendix No. 4 to this decision of the Board of Directors of the Company.</w:t>
            </w:r>
          </w:p>
          <w:p w:rsidR="002248DD" w:rsidRPr="00C044C2" w:rsidRDefault="009A6931" w:rsidP="00F359E2">
            <w:pPr>
              <w:widowControl w:val="0"/>
              <w:autoSpaceDE/>
              <w:autoSpaceDN/>
              <w:ind w:left="109" w:right="114"/>
              <w:contextualSpacing/>
              <w:jc w:val="both"/>
              <w:rPr>
                <w:b/>
                <w:bCs/>
                <w:sz w:val="26"/>
                <w:szCs w:val="26"/>
              </w:rPr>
            </w:pPr>
            <w:r w:rsidRPr="00C044C2">
              <w:rPr>
                <w:b/>
                <w:sz w:val="26"/>
                <w:lang w:bidi="en-US"/>
              </w:rPr>
              <w:t>Decision taken.</w:t>
            </w:r>
          </w:p>
          <w:p w:rsidR="009974E3" w:rsidRPr="00C044C2" w:rsidRDefault="009974E3" w:rsidP="00F359E2">
            <w:pPr>
              <w:widowControl w:val="0"/>
              <w:autoSpaceDE/>
              <w:autoSpaceDN/>
              <w:ind w:left="109" w:right="114"/>
              <w:contextualSpacing/>
              <w:jc w:val="both"/>
              <w:rPr>
                <w:b/>
                <w:bCs/>
                <w:sz w:val="26"/>
                <w:szCs w:val="26"/>
              </w:rPr>
            </w:pPr>
          </w:p>
          <w:p w:rsidR="009974E3" w:rsidRPr="00C044C2" w:rsidRDefault="009974E3" w:rsidP="002E7779">
            <w:pPr>
              <w:widowControl w:val="0"/>
              <w:autoSpaceDE/>
              <w:autoSpaceDN/>
              <w:ind w:left="109" w:right="114"/>
              <w:contextualSpacing/>
              <w:jc w:val="both"/>
              <w:rPr>
                <w:b/>
                <w:color w:val="000000"/>
                <w:sz w:val="26"/>
                <w:szCs w:val="26"/>
              </w:rPr>
            </w:pPr>
            <w:r w:rsidRPr="00C044C2">
              <w:rPr>
                <w:b/>
                <w:sz w:val="26"/>
                <w:lang w:bidi="en-US"/>
              </w:rPr>
              <w:t>ISSUE No.</w:t>
            </w:r>
            <w:r w:rsidR="003337FA">
              <w:rPr>
                <w:b/>
                <w:sz w:val="26"/>
                <w:lang w:bidi="en-US"/>
              </w:rPr>
              <w:t xml:space="preserve"> </w:t>
            </w:r>
            <w:r w:rsidRPr="00C044C2">
              <w:rPr>
                <w:b/>
                <w:sz w:val="26"/>
                <w:lang w:bidi="en-US"/>
              </w:rPr>
              <w:t>5: On determination of the attitude of the Company’s representatives concerning issues on agendas of general meetings of shareholders and sessions of Boards of Directors of subsidiary compan</w:t>
            </w:r>
            <w:r w:rsidR="003337FA">
              <w:rPr>
                <w:b/>
                <w:sz w:val="26"/>
                <w:lang w:bidi="en-US"/>
              </w:rPr>
              <w:t>ies of IDGC of North-West, PJSC</w:t>
            </w:r>
          </w:p>
          <w:p w:rsidR="009974E3" w:rsidRPr="00C044C2" w:rsidRDefault="009974E3" w:rsidP="009974E3">
            <w:pPr>
              <w:widowControl w:val="0"/>
              <w:autoSpaceDE/>
              <w:autoSpaceDN/>
              <w:ind w:left="109" w:right="114"/>
              <w:contextualSpacing/>
              <w:jc w:val="both"/>
              <w:rPr>
                <w:bCs/>
                <w:sz w:val="26"/>
                <w:szCs w:val="26"/>
              </w:rPr>
            </w:pPr>
            <w:r w:rsidRPr="00C044C2">
              <w:rPr>
                <w:sz w:val="26"/>
                <w:lang w:bidi="en-US"/>
              </w:rPr>
              <w:t xml:space="preserve">1. Instruct representatives of IDGC of North-West, PJSC to vote FOR the following decision on agenda issue </w:t>
            </w:r>
            <w:r w:rsidR="003337FA">
              <w:rPr>
                <w:sz w:val="26"/>
                <w:lang w:bidi="en-US"/>
              </w:rPr>
              <w:t>“</w:t>
            </w:r>
            <w:r w:rsidRPr="00C044C2">
              <w:rPr>
                <w:sz w:val="26"/>
                <w:lang w:bidi="en-US"/>
              </w:rPr>
              <w:t>On approval of the Report on the Credit Policy of Pskovenergoagent</w:t>
            </w:r>
            <w:r w:rsidR="00894C88">
              <w:rPr>
                <w:sz w:val="26"/>
                <w:lang w:bidi="en-US"/>
              </w:rPr>
              <w:t>,</w:t>
            </w:r>
            <w:r w:rsidRPr="00C044C2">
              <w:rPr>
                <w:sz w:val="26"/>
                <w:lang w:bidi="en-US"/>
              </w:rPr>
              <w:t xml:space="preserve"> JSC in Q2 2020</w:t>
            </w:r>
            <w:r w:rsidR="003337FA">
              <w:rPr>
                <w:sz w:val="26"/>
                <w:lang w:bidi="en-US"/>
              </w:rPr>
              <w:t>”</w:t>
            </w:r>
            <w:r w:rsidRPr="00C044C2">
              <w:rPr>
                <w:sz w:val="26"/>
                <w:lang w:bidi="en-US"/>
              </w:rPr>
              <w:t xml:space="preserve"> at the meeting of the Board of Directors of Pskovenergoagent</w:t>
            </w:r>
            <w:r w:rsidR="00894C88">
              <w:rPr>
                <w:sz w:val="26"/>
                <w:lang w:bidi="en-US"/>
              </w:rPr>
              <w:t>,</w:t>
            </w:r>
            <w:r w:rsidRPr="00C044C2">
              <w:rPr>
                <w:sz w:val="26"/>
                <w:lang w:bidi="en-US"/>
              </w:rPr>
              <w:t xml:space="preserve"> JSC:</w:t>
            </w:r>
          </w:p>
          <w:p w:rsidR="009974E3" w:rsidRPr="00C044C2" w:rsidRDefault="003337FA" w:rsidP="009974E3">
            <w:pPr>
              <w:widowControl w:val="0"/>
              <w:autoSpaceDE/>
              <w:autoSpaceDN/>
              <w:ind w:left="109" w:right="114"/>
              <w:contextualSpacing/>
              <w:jc w:val="both"/>
              <w:rPr>
                <w:bCs/>
                <w:sz w:val="26"/>
                <w:szCs w:val="26"/>
              </w:rPr>
            </w:pPr>
            <w:r>
              <w:rPr>
                <w:sz w:val="26"/>
                <w:lang w:bidi="en-US"/>
              </w:rPr>
              <w:t>“</w:t>
            </w:r>
            <w:r w:rsidR="009974E3" w:rsidRPr="00C044C2">
              <w:rPr>
                <w:sz w:val="26"/>
                <w:lang w:bidi="en-US"/>
              </w:rPr>
              <w:t xml:space="preserve">Take under advisement the </w:t>
            </w:r>
            <w:r w:rsidRPr="00C044C2">
              <w:rPr>
                <w:sz w:val="26"/>
                <w:lang w:bidi="en-US"/>
              </w:rPr>
              <w:t xml:space="preserve">Report </w:t>
            </w:r>
            <w:r w:rsidR="009974E3" w:rsidRPr="00C044C2">
              <w:rPr>
                <w:sz w:val="26"/>
                <w:lang w:bidi="en-US"/>
              </w:rPr>
              <w:t xml:space="preserve">on the </w:t>
            </w:r>
            <w:r w:rsidRPr="00C044C2">
              <w:rPr>
                <w:sz w:val="26"/>
                <w:lang w:bidi="en-US"/>
              </w:rPr>
              <w:t xml:space="preserve">Credit Policy </w:t>
            </w:r>
            <w:r w:rsidR="009974E3" w:rsidRPr="00C044C2">
              <w:rPr>
                <w:sz w:val="26"/>
                <w:lang w:bidi="en-US"/>
              </w:rPr>
              <w:t>of Pskovenergoagent</w:t>
            </w:r>
            <w:r w:rsidR="00894C88">
              <w:rPr>
                <w:sz w:val="26"/>
                <w:lang w:bidi="en-US"/>
              </w:rPr>
              <w:t>,</w:t>
            </w:r>
            <w:r w:rsidR="009974E3" w:rsidRPr="00C044C2">
              <w:rPr>
                <w:sz w:val="26"/>
                <w:lang w:bidi="en-US"/>
              </w:rPr>
              <w:t xml:space="preserve"> JSC in Q2 2020 in accordance with Appendix to the decision of the Board of Directors of the Company.</w:t>
            </w:r>
            <w:r>
              <w:rPr>
                <w:sz w:val="26"/>
                <w:lang w:bidi="en-US"/>
              </w:rPr>
              <w:t>”</w:t>
            </w:r>
          </w:p>
          <w:p w:rsidR="00584B98" w:rsidRPr="00C044C2" w:rsidRDefault="00584B98" w:rsidP="00584B98">
            <w:pPr>
              <w:widowControl w:val="0"/>
              <w:autoSpaceDE/>
              <w:autoSpaceDN/>
              <w:ind w:left="109" w:right="114"/>
              <w:contextualSpacing/>
              <w:jc w:val="both"/>
              <w:rPr>
                <w:b/>
                <w:bCs/>
                <w:sz w:val="26"/>
                <w:szCs w:val="26"/>
              </w:rPr>
            </w:pPr>
            <w:r w:rsidRPr="00C044C2">
              <w:rPr>
                <w:b/>
                <w:sz w:val="26"/>
                <w:lang w:bidi="en-US"/>
              </w:rPr>
              <w:t>Decision taken.</w:t>
            </w:r>
          </w:p>
          <w:p w:rsidR="00F979F4" w:rsidRPr="00C044C2" w:rsidRDefault="00F979F4" w:rsidP="00F979F4">
            <w:pPr>
              <w:widowControl w:val="0"/>
              <w:autoSpaceDE/>
              <w:autoSpaceDN/>
              <w:ind w:left="109" w:right="114"/>
              <w:contextualSpacing/>
              <w:jc w:val="both"/>
              <w:rPr>
                <w:bCs/>
                <w:sz w:val="26"/>
                <w:szCs w:val="26"/>
              </w:rPr>
            </w:pPr>
            <w:r w:rsidRPr="00C044C2">
              <w:rPr>
                <w:sz w:val="26"/>
                <w:lang w:bidi="en-US"/>
              </w:rPr>
              <w:t xml:space="preserve">2. Instruct representatives of IDGC of North-West, PJSC to vote FOR the following decision on issue </w:t>
            </w:r>
            <w:r w:rsidR="003337FA">
              <w:rPr>
                <w:sz w:val="26"/>
                <w:lang w:bidi="en-US"/>
              </w:rPr>
              <w:t>“</w:t>
            </w:r>
            <w:r w:rsidRPr="00C044C2">
              <w:rPr>
                <w:sz w:val="26"/>
                <w:lang w:bidi="en-US"/>
              </w:rPr>
              <w:t>On consideration of the Report on the Credit Policy of Pskovenergosbyt</w:t>
            </w:r>
            <w:r w:rsidR="00894C88">
              <w:rPr>
                <w:sz w:val="26"/>
                <w:lang w:bidi="en-US"/>
              </w:rPr>
              <w:t>,</w:t>
            </w:r>
            <w:r w:rsidRPr="00C044C2">
              <w:rPr>
                <w:sz w:val="26"/>
                <w:lang w:bidi="en-US"/>
              </w:rPr>
              <w:t xml:space="preserve"> JSC in Q2 2020</w:t>
            </w:r>
            <w:r w:rsidR="003337FA">
              <w:rPr>
                <w:sz w:val="26"/>
                <w:lang w:bidi="en-US"/>
              </w:rPr>
              <w:t>”</w:t>
            </w:r>
            <w:r w:rsidRPr="00C044C2">
              <w:rPr>
                <w:sz w:val="26"/>
                <w:lang w:bidi="en-US"/>
              </w:rPr>
              <w:t xml:space="preserve"> at the meeting of the Board of Directors of Pskovenergosbyt</w:t>
            </w:r>
            <w:r w:rsidR="00894C88">
              <w:rPr>
                <w:sz w:val="26"/>
                <w:lang w:bidi="en-US"/>
              </w:rPr>
              <w:t>,</w:t>
            </w:r>
            <w:r w:rsidRPr="00C044C2">
              <w:rPr>
                <w:sz w:val="26"/>
                <w:lang w:bidi="en-US"/>
              </w:rPr>
              <w:t xml:space="preserve"> JSC:</w:t>
            </w:r>
          </w:p>
          <w:p w:rsidR="00F979F4" w:rsidRPr="00C044C2" w:rsidRDefault="003337FA" w:rsidP="00F979F4">
            <w:pPr>
              <w:widowControl w:val="0"/>
              <w:autoSpaceDE/>
              <w:autoSpaceDN/>
              <w:ind w:left="109" w:right="114"/>
              <w:contextualSpacing/>
              <w:jc w:val="both"/>
              <w:rPr>
                <w:bCs/>
                <w:sz w:val="26"/>
                <w:szCs w:val="26"/>
              </w:rPr>
            </w:pPr>
            <w:r>
              <w:rPr>
                <w:sz w:val="26"/>
                <w:lang w:bidi="en-US"/>
              </w:rPr>
              <w:t>“</w:t>
            </w:r>
            <w:r w:rsidR="00F979F4" w:rsidRPr="00C044C2">
              <w:rPr>
                <w:sz w:val="26"/>
                <w:lang w:bidi="en-US"/>
              </w:rPr>
              <w:t>1. Take under advisement the report on the credit policy of Pskovenergosbyt</w:t>
            </w:r>
            <w:r w:rsidR="00894C88">
              <w:rPr>
                <w:sz w:val="26"/>
                <w:lang w:bidi="en-US"/>
              </w:rPr>
              <w:t>,</w:t>
            </w:r>
            <w:bookmarkStart w:id="0" w:name="_GoBack"/>
            <w:bookmarkEnd w:id="0"/>
            <w:r w:rsidR="00F979F4" w:rsidRPr="00C044C2">
              <w:rPr>
                <w:sz w:val="26"/>
                <w:lang w:bidi="en-US"/>
              </w:rPr>
              <w:t xml:space="preserve"> JSC in Q2 2020 in accordance with the Appendix to the decision of the Board of Directors of the Company.</w:t>
            </w:r>
          </w:p>
          <w:p w:rsidR="00F979F4" w:rsidRPr="00C044C2" w:rsidRDefault="00F979F4" w:rsidP="00F979F4">
            <w:pPr>
              <w:widowControl w:val="0"/>
              <w:autoSpaceDE/>
              <w:autoSpaceDN/>
              <w:ind w:left="109" w:right="114"/>
              <w:contextualSpacing/>
              <w:jc w:val="both"/>
              <w:rPr>
                <w:bCs/>
                <w:sz w:val="26"/>
                <w:szCs w:val="26"/>
              </w:rPr>
            </w:pPr>
            <w:r w:rsidRPr="00C044C2">
              <w:rPr>
                <w:sz w:val="26"/>
                <w:lang w:bidi="en-US"/>
              </w:rPr>
              <w:t>2. Note the excess of the target limit on the structure of liabilities as of June 30, 2020.</w:t>
            </w:r>
          </w:p>
          <w:p w:rsidR="00E54702" w:rsidRPr="00C044C2" w:rsidRDefault="00F979F4" w:rsidP="005467ED">
            <w:pPr>
              <w:widowControl w:val="0"/>
              <w:autoSpaceDE/>
              <w:autoSpaceDN/>
              <w:ind w:left="109" w:right="114"/>
              <w:contextualSpacing/>
              <w:jc w:val="both"/>
              <w:rPr>
                <w:bCs/>
                <w:sz w:val="26"/>
                <w:szCs w:val="26"/>
              </w:rPr>
            </w:pPr>
            <w:r w:rsidRPr="00C044C2">
              <w:rPr>
                <w:sz w:val="26"/>
                <w:lang w:bidi="en-US"/>
              </w:rPr>
              <w:t>3. Agree on a temporary excess of the target limit on the structure of liabilities as of June 30, 2020.”</w:t>
            </w:r>
          </w:p>
          <w:p w:rsidR="00F979F4" w:rsidRPr="00C044C2" w:rsidRDefault="00F979F4" w:rsidP="00F979F4">
            <w:pPr>
              <w:widowControl w:val="0"/>
              <w:autoSpaceDE/>
              <w:autoSpaceDN/>
              <w:ind w:left="109" w:right="114"/>
              <w:contextualSpacing/>
              <w:jc w:val="both"/>
              <w:rPr>
                <w:b/>
                <w:bCs/>
                <w:sz w:val="26"/>
                <w:szCs w:val="26"/>
              </w:rPr>
            </w:pPr>
            <w:r w:rsidRPr="00C044C2">
              <w:rPr>
                <w:b/>
                <w:sz w:val="26"/>
                <w:lang w:bidi="en-US"/>
              </w:rPr>
              <w:t>Decision taken.</w:t>
            </w:r>
          </w:p>
          <w:p w:rsidR="007945DF" w:rsidRPr="00C044C2" w:rsidRDefault="007050B5" w:rsidP="007945DF">
            <w:pPr>
              <w:widowControl w:val="0"/>
              <w:autoSpaceDE/>
              <w:autoSpaceDN/>
              <w:ind w:left="112" w:right="114"/>
              <w:contextualSpacing/>
              <w:jc w:val="both"/>
              <w:rPr>
                <w:sz w:val="26"/>
                <w:szCs w:val="26"/>
              </w:rPr>
            </w:pPr>
            <w:proofErr w:type="gramStart"/>
            <w:r w:rsidRPr="00C044C2">
              <w:rPr>
                <w:sz w:val="26"/>
                <w:lang w:bidi="en-US"/>
              </w:rPr>
              <w:t>2.3. If the agenda of the meeting of the Issuer’s Board of Directors (Supervisory Board) contains issues related to exercise of rights with regard to certain securities of the Issuer, the identification attributes of such securities shall be indicated</w:t>
            </w:r>
            <w:r w:rsidRPr="00C044C2">
              <w:rPr>
                <w:b/>
                <w:sz w:val="26"/>
                <w:lang w:bidi="en-US"/>
              </w:rPr>
              <w:t xml:space="preserve">: the agenda of the meeting of the Board of </w:t>
            </w:r>
            <w:r w:rsidRPr="00C044C2">
              <w:rPr>
                <w:b/>
                <w:sz w:val="26"/>
                <w:lang w:bidi="en-US"/>
              </w:rPr>
              <w:lastRenderedPageBreak/>
              <w:t>Directors of the Issuer conducted on September 28, 2020 does not contain issues related to the exercise of rights with regard to securities of the Issuer.</w:t>
            </w:r>
            <w:proofErr w:type="gramEnd"/>
          </w:p>
          <w:p w:rsidR="00424501" w:rsidRPr="00C044C2" w:rsidRDefault="00424501" w:rsidP="009B2182">
            <w:pPr>
              <w:widowControl w:val="0"/>
              <w:autoSpaceDE/>
              <w:autoSpaceDN/>
              <w:ind w:left="112" w:right="114"/>
              <w:contextualSpacing/>
              <w:jc w:val="both"/>
              <w:rPr>
                <w:b/>
                <w:sz w:val="26"/>
                <w:szCs w:val="26"/>
              </w:rPr>
            </w:pPr>
            <w:r w:rsidRPr="00C044C2">
              <w:rPr>
                <w:sz w:val="26"/>
                <w:lang w:bidi="en-US"/>
              </w:rPr>
              <w:t xml:space="preserve">2.4. Date of arrangement of the session of the Board of Directors of the Issuer whereat the relevant decisions </w:t>
            </w:r>
            <w:proofErr w:type="gramStart"/>
            <w:r w:rsidRPr="00C044C2">
              <w:rPr>
                <w:sz w:val="26"/>
                <w:lang w:bidi="en-US"/>
              </w:rPr>
              <w:t>were taken</w:t>
            </w:r>
            <w:proofErr w:type="gramEnd"/>
            <w:r w:rsidRPr="00C044C2">
              <w:rPr>
                <w:sz w:val="26"/>
                <w:lang w:bidi="en-US"/>
              </w:rPr>
              <w:t xml:space="preserve">: </w:t>
            </w:r>
            <w:r w:rsidRPr="00C044C2">
              <w:rPr>
                <w:b/>
                <w:sz w:val="26"/>
                <w:lang w:bidi="en-US"/>
              </w:rPr>
              <w:t>September 28, 2020.</w:t>
            </w:r>
          </w:p>
          <w:p w:rsidR="00E369EF" w:rsidRPr="00C044C2" w:rsidRDefault="00424501" w:rsidP="001D5D5A">
            <w:pPr>
              <w:widowControl w:val="0"/>
              <w:tabs>
                <w:tab w:val="left" w:pos="591"/>
              </w:tabs>
              <w:autoSpaceDE/>
              <w:autoSpaceDN/>
              <w:ind w:left="112" w:right="114"/>
              <w:contextualSpacing/>
              <w:jc w:val="both"/>
              <w:rPr>
                <w:sz w:val="26"/>
                <w:szCs w:val="26"/>
              </w:rPr>
            </w:pPr>
            <w:r w:rsidRPr="00C044C2">
              <w:rPr>
                <w:sz w:val="26"/>
                <w:lang w:bidi="en-US"/>
              </w:rPr>
              <w:t xml:space="preserve">2.5. Date and number of the Minutes of the meeting of the Board of Directors of the Issuer whereat the relevant decisions </w:t>
            </w:r>
            <w:proofErr w:type="gramStart"/>
            <w:r w:rsidRPr="00C044C2">
              <w:rPr>
                <w:sz w:val="26"/>
                <w:lang w:bidi="en-US"/>
              </w:rPr>
              <w:t>were approved</w:t>
            </w:r>
            <w:proofErr w:type="gramEnd"/>
            <w:r w:rsidRPr="00C044C2">
              <w:rPr>
                <w:sz w:val="26"/>
                <w:lang w:bidi="en-US"/>
              </w:rPr>
              <w:t xml:space="preserve">: </w:t>
            </w:r>
            <w:r w:rsidRPr="00C044C2">
              <w:rPr>
                <w:b/>
                <w:sz w:val="26"/>
                <w:lang w:bidi="en-US"/>
              </w:rPr>
              <w:t>Minutes No. 376/12 dated September 29, 2020.</w:t>
            </w:r>
          </w:p>
        </w:tc>
      </w:tr>
      <w:tr w:rsidR="00137C8F" w:rsidRPr="00C044C2" w:rsidTr="00090918">
        <w:trPr>
          <w:trHeight w:val="149"/>
          <w:jc w:val="center"/>
        </w:trPr>
        <w:tc>
          <w:tcPr>
            <w:tcW w:w="10485" w:type="dxa"/>
            <w:gridSpan w:val="4"/>
            <w:tcBorders>
              <w:top w:val="single" w:sz="4" w:space="0" w:color="auto"/>
              <w:left w:val="single" w:sz="4" w:space="0" w:color="auto"/>
              <w:bottom w:val="single" w:sz="4" w:space="0" w:color="auto"/>
              <w:right w:val="single" w:sz="4" w:space="0" w:color="auto"/>
            </w:tcBorders>
          </w:tcPr>
          <w:p w:rsidR="00137C8F" w:rsidRPr="00C044C2" w:rsidRDefault="00137C8F" w:rsidP="006424E1">
            <w:pPr>
              <w:widowControl w:val="0"/>
              <w:autoSpaceDE/>
              <w:autoSpaceDN/>
              <w:spacing w:after="60"/>
              <w:jc w:val="center"/>
              <w:rPr>
                <w:sz w:val="26"/>
                <w:szCs w:val="26"/>
              </w:rPr>
            </w:pPr>
            <w:r w:rsidRPr="00C044C2">
              <w:rPr>
                <w:sz w:val="26"/>
                <w:lang w:bidi="en-US"/>
              </w:rPr>
              <w:lastRenderedPageBreak/>
              <w:t>3. Signature</w:t>
            </w:r>
          </w:p>
        </w:tc>
      </w:tr>
      <w:tr w:rsidR="008A470A" w:rsidRPr="00C044C2" w:rsidTr="00B22B20">
        <w:tblPrEx>
          <w:tblLook w:val="04A0" w:firstRow="1" w:lastRow="0" w:firstColumn="1" w:lastColumn="0" w:noHBand="0" w:noVBand="1"/>
        </w:tblPrEx>
        <w:trPr>
          <w:trHeight w:val="20"/>
          <w:jc w:val="center"/>
        </w:trPr>
        <w:tc>
          <w:tcPr>
            <w:tcW w:w="5524" w:type="dxa"/>
            <w:gridSpan w:val="2"/>
            <w:tcBorders>
              <w:top w:val="single" w:sz="4" w:space="0" w:color="auto"/>
              <w:left w:val="single" w:sz="4" w:space="0" w:color="auto"/>
              <w:bottom w:val="nil"/>
              <w:right w:val="nil"/>
            </w:tcBorders>
            <w:hideMark/>
          </w:tcPr>
          <w:p w:rsidR="00956F10" w:rsidRPr="00C044C2" w:rsidRDefault="008A470A" w:rsidP="006424E1">
            <w:pPr>
              <w:widowControl w:val="0"/>
              <w:ind w:left="498" w:hanging="441"/>
              <w:rPr>
                <w:sz w:val="26"/>
                <w:szCs w:val="26"/>
              </w:rPr>
            </w:pPr>
            <w:r w:rsidRPr="00C044C2">
              <w:rPr>
                <w:sz w:val="26"/>
                <w:lang w:bidi="en-US"/>
              </w:rPr>
              <w:t>3.1. Head of the Department for Corporate Governance and Shareholder Relations of IDGC of North-West, PJSC</w:t>
            </w:r>
          </w:p>
          <w:p w:rsidR="008A470A" w:rsidRPr="00C044C2" w:rsidRDefault="00C93A19" w:rsidP="00CE3B56">
            <w:pPr>
              <w:widowControl w:val="0"/>
              <w:autoSpaceDE/>
              <w:ind w:left="510"/>
              <w:rPr>
                <w:sz w:val="26"/>
                <w:szCs w:val="26"/>
                <w:lang w:eastAsia="en-US"/>
              </w:rPr>
            </w:pPr>
            <w:r w:rsidRPr="00C044C2">
              <w:rPr>
                <w:sz w:val="26"/>
                <w:lang w:bidi="en-US"/>
              </w:rPr>
              <w:t>(under the Power of Attorney No. 256 as of December 04, 2019)</w:t>
            </w:r>
          </w:p>
        </w:tc>
        <w:tc>
          <w:tcPr>
            <w:tcW w:w="2835" w:type="dxa"/>
            <w:tcBorders>
              <w:top w:val="single" w:sz="4" w:space="0" w:color="auto"/>
              <w:left w:val="nil"/>
              <w:bottom w:val="single" w:sz="4" w:space="0" w:color="auto"/>
              <w:right w:val="nil"/>
            </w:tcBorders>
          </w:tcPr>
          <w:p w:rsidR="008A470A" w:rsidRPr="00C044C2" w:rsidRDefault="008A470A" w:rsidP="006424E1">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rsidR="008A470A" w:rsidRPr="00C044C2" w:rsidRDefault="008A470A" w:rsidP="006424E1">
            <w:pPr>
              <w:widowControl w:val="0"/>
              <w:spacing w:line="228" w:lineRule="auto"/>
              <w:ind w:left="57"/>
              <w:rPr>
                <w:sz w:val="26"/>
                <w:szCs w:val="26"/>
                <w:lang w:eastAsia="en-US"/>
              </w:rPr>
            </w:pPr>
          </w:p>
          <w:p w:rsidR="008A470A" w:rsidRPr="00C044C2" w:rsidRDefault="00C93A19" w:rsidP="006424E1">
            <w:pPr>
              <w:widowControl w:val="0"/>
              <w:spacing w:line="228" w:lineRule="auto"/>
              <w:ind w:left="57"/>
              <w:rPr>
                <w:sz w:val="26"/>
                <w:szCs w:val="26"/>
                <w:lang w:eastAsia="en-US"/>
              </w:rPr>
            </w:pPr>
            <w:r w:rsidRPr="00C044C2">
              <w:rPr>
                <w:sz w:val="26"/>
                <w:lang w:bidi="en-US"/>
              </w:rPr>
              <w:t>A.A. Temnyshev</w:t>
            </w:r>
          </w:p>
        </w:tc>
      </w:tr>
      <w:tr w:rsidR="008A470A" w:rsidRPr="00C044C2"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C044C2" w:rsidRDefault="008A470A" w:rsidP="006424E1">
            <w:pPr>
              <w:widowControl w:val="0"/>
              <w:autoSpaceDE/>
              <w:spacing w:line="276" w:lineRule="auto"/>
              <w:ind w:left="57"/>
              <w:rPr>
                <w:sz w:val="26"/>
                <w:szCs w:val="26"/>
                <w:lang w:eastAsia="en-US"/>
              </w:rPr>
            </w:pPr>
          </w:p>
          <w:p w:rsidR="008A470A" w:rsidRPr="00C044C2" w:rsidRDefault="008A470A" w:rsidP="00B22B20">
            <w:pPr>
              <w:widowControl w:val="0"/>
              <w:autoSpaceDE/>
              <w:spacing w:line="276" w:lineRule="auto"/>
              <w:ind w:left="57"/>
              <w:rPr>
                <w:sz w:val="26"/>
                <w:szCs w:val="26"/>
                <w:lang w:eastAsia="en-US"/>
              </w:rPr>
            </w:pPr>
            <w:r w:rsidRPr="00C044C2">
              <w:rPr>
                <w:sz w:val="26"/>
                <w:lang w:bidi="en-US"/>
              </w:rPr>
              <w:t xml:space="preserve">3.2. Date </w:t>
            </w:r>
            <w:r w:rsidRPr="00C044C2">
              <w:rPr>
                <w:b/>
                <w:sz w:val="26"/>
                <w:lang w:bidi="en-US"/>
              </w:rPr>
              <w:t>September 29, 2020</w:t>
            </w:r>
          </w:p>
        </w:tc>
        <w:tc>
          <w:tcPr>
            <w:tcW w:w="3119" w:type="dxa"/>
            <w:gridSpan w:val="2"/>
            <w:tcBorders>
              <w:top w:val="nil"/>
              <w:left w:val="nil"/>
              <w:bottom w:val="single" w:sz="4" w:space="0" w:color="auto"/>
              <w:right w:val="nil"/>
            </w:tcBorders>
            <w:hideMark/>
          </w:tcPr>
          <w:p w:rsidR="008A470A" w:rsidRPr="00C044C2" w:rsidRDefault="008A470A" w:rsidP="006424E1">
            <w:pPr>
              <w:widowControl w:val="0"/>
              <w:autoSpaceDE/>
              <w:spacing w:line="276" w:lineRule="auto"/>
              <w:ind w:left="57"/>
              <w:jc w:val="center"/>
              <w:rPr>
                <w:sz w:val="26"/>
                <w:szCs w:val="26"/>
                <w:lang w:eastAsia="en-US"/>
              </w:rPr>
            </w:pPr>
            <w:r w:rsidRPr="00C044C2">
              <w:rPr>
                <w:sz w:val="26"/>
                <w:lang w:bidi="en-US"/>
              </w:rPr>
              <w:t>(signature)</w:t>
            </w:r>
          </w:p>
          <w:p w:rsidR="008A470A" w:rsidRPr="00C044C2" w:rsidRDefault="008A470A" w:rsidP="006424E1">
            <w:pPr>
              <w:widowControl w:val="0"/>
              <w:autoSpaceDE/>
              <w:spacing w:line="276" w:lineRule="auto"/>
              <w:ind w:left="57"/>
              <w:jc w:val="center"/>
              <w:rPr>
                <w:sz w:val="26"/>
                <w:szCs w:val="26"/>
                <w:lang w:eastAsia="en-US"/>
              </w:rPr>
            </w:pPr>
            <w:r w:rsidRPr="00C044C2">
              <w:rPr>
                <w:sz w:val="26"/>
                <w:lang w:bidi="en-US"/>
              </w:rPr>
              <w:t>Stamp here</w:t>
            </w:r>
          </w:p>
        </w:tc>
        <w:tc>
          <w:tcPr>
            <w:tcW w:w="2126" w:type="dxa"/>
            <w:tcBorders>
              <w:top w:val="nil"/>
              <w:left w:val="nil"/>
              <w:bottom w:val="single" w:sz="4" w:space="0" w:color="auto"/>
              <w:right w:val="single" w:sz="4" w:space="0" w:color="auto"/>
            </w:tcBorders>
            <w:vAlign w:val="bottom"/>
          </w:tcPr>
          <w:p w:rsidR="008A470A" w:rsidRPr="00C044C2" w:rsidRDefault="008A470A" w:rsidP="006424E1">
            <w:pPr>
              <w:widowControl w:val="0"/>
              <w:autoSpaceDE/>
              <w:spacing w:line="276" w:lineRule="auto"/>
              <w:ind w:left="57"/>
              <w:rPr>
                <w:sz w:val="26"/>
                <w:szCs w:val="26"/>
                <w:lang w:eastAsia="en-US"/>
              </w:rPr>
            </w:pPr>
          </w:p>
        </w:tc>
      </w:tr>
    </w:tbl>
    <w:p w:rsidR="009E5C35" w:rsidRPr="00C044C2" w:rsidRDefault="009E5C35"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9B1CF1" w:rsidRPr="00C044C2" w:rsidRDefault="009B1CF1" w:rsidP="006424E1">
      <w:pPr>
        <w:widowControl w:val="0"/>
        <w:rPr>
          <w:sz w:val="26"/>
          <w:szCs w:val="26"/>
        </w:rPr>
      </w:pPr>
    </w:p>
    <w:p w:rsidR="00E62213" w:rsidRPr="00C044C2" w:rsidRDefault="00E62213" w:rsidP="006424E1">
      <w:pPr>
        <w:widowControl w:val="0"/>
        <w:rPr>
          <w:sz w:val="26"/>
          <w:szCs w:val="26"/>
        </w:rPr>
      </w:pPr>
    </w:p>
    <w:p w:rsidR="00E62213" w:rsidRPr="00C044C2" w:rsidRDefault="00E62213" w:rsidP="006424E1">
      <w:pPr>
        <w:widowControl w:val="0"/>
        <w:rPr>
          <w:sz w:val="26"/>
          <w:szCs w:val="26"/>
        </w:rPr>
      </w:pPr>
    </w:p>
    <w:p w:rsidR="00E62213" w:rsidRPr="00C044C2" w:rsidRDefault="00E62213" w:rsidP="006424E1">
      <w:pPr>
        <w:widowControl w:val="0"/>
        <w:rPr>
          <w:sz w:val="26"/>
          <w:szCs w:val="26"/>
        </w:rPr>
      </w:pPr>
    </w:p>
    <w:p w:rsidR="00E62213" w:rsidRPr="00C044C2" w:rsidRDefault="00E62213" w:rsidP="006424E1">
      <w:pPr>
        <w:widowControl w:val="0"/>
        <w:rPr>
          <w:sz w:val="26"/>
          <w:szCs w:val="26"/>
        </w:rPr>
      </w:pPr>
    </w:p>
    <w:p w:rsidR="00FA6D99" w:rsidRPr="00C044C2" w:rsidRDefault="00FA6D99" w:rsidP="006424E1">
      <w:pPr>
        <w:widowControl w:val="0"/>
        <w:rPr>
          <w:sz w:val="26"/>
          <w:szCs w:val="26"/>
        </w:rPr>
      </w:pPr>
    </w:p>
    <w:p w:rsidR="00FA6D99" w:rsidRPr="00C044C2" w:rsidRDefault="00FA6D99" w:rsidP="00FA6D99">
      <w:pPr>
        <w:widowControl w:val="0"/>
        <w:rPr>
          <w:sz w:val="26"/>
          <w:szCs w:val="26"/>
        </w:rPr>
      </w:pPr>
    </w:p>
    <w:p w:rsidR="00FA6D99" w:rsidRPr="00C044C2" w:rsidRDefault="00FA6D99" w:rsidP="00FA6D99">
      <w:pPr>
        <w:widowControl w:val="0"/>
        <w:rPr>
          <w:sz w:val="26"/>
          <w:szCs w:val="26"/>
        </w:rPr>
      </w:pPr>
    </w:p>
    <w:p w:rsidR="00FA6D99" w:rsidRPr="00C044C2" w:rsidRDefault="00FA6D99" w:rsidP="00FA6D99">
      <w:pPr>
        <w:widowControl w:val="0"/>
        <w:rPr>
          <w:sz w:val="26"/>
          <w:szCs w:val="26"/>
        </w:rPr>
      </w:pPr>
    </w:p>
    <w:p w:rsidR="00FA6D99" w:rsidRPr="00C044C2" w:rsidRDefault="00FA6D99" w:rsidP="00FA6D99">
      <w:pPr>
        <w:widowControl w:val="0"/>
        <w:rPr>
          <w:sz w:val="26"/>
          <w:szCs w:val="26"/>
        </w:rPr>
      </w:pPr>
    </w:p>
    <w:p w:rsidR="00FA6D99" w:rsidRPr="00C044C2" w:rsidRDefault="00FA6D99" w:rsidP="00FA6D99">
      <w:pPr>
        <w:widowControl w:val="0"/>
        <w:rPr>
          <w:sz w:val="26"/>
          <w:szCs w:val="26"/>
        </w:rPr>
      </w:pPr>
    </w:p>
    <w:p w:rsidR="00FA6D99" w:rsidRPr="00C044C2" w:rsidRDefault="00FA6D99" w:rsidP="00FA6D99">
      <w:pPr>
        <w:widowControl w:val="0"/>
        <w:rPr>
          <w:sz w:val="26"/>
          <w:szCs w:val="26"/>
        </w:rPr>
      </w:pPr>
    </w:p>
    <w:p w:rsidR="00FA6D99" w:rsidRPr="00C044C2" w:rsidRDefault="00FA6D99" w:rsidP="00FA6D99">
      <w:pPr>
        <w:widowControl w:val="0"/>
        <w:rPr>
          <w:sz w:val="26"/>
          <w:szCs w:val="26"/>
        </w:rPr>
      </w:pPr>
    </w:p>
    <w:p w:rsidR="00FA6D99" w:rsidRPr="00C044C2" w:rsidRDefault="00FA6D99" w:rsidP="00FA6D99">
      <w:pPr>
        <w:widowControl w:val="0"/>
        <w:rPr>
          <w:sz w:val="26"/>
          <w:szCs w:val="26"/>
        </w:rPr>
      </w:pPr>
    </w:p>
    <w:p w:rsidR="00FA6D99" w:rsidRPr="00C044C2" w:rsidRDefault="00FA6D99" w:rsidP="00FA6D99">
      <w:pPr>
        <w:widowControl w:val="0"/>
        <w:rPr>
          <w:sz w:val="26"/>
          <w:szCs w:val="26"/>
        </w:rPr>
      </w:pPr>
    </w:p>
    <w:p w:rsidR="00FA6D99" w:rsidRPr="00C044C2" w:rsidRDefault="00FA6D99" w:rsidP="00FA6D99">
      <w:pPr>
        <w:widowControl w:val="0"/>
        <w:rPr>
          <w:sz w:val="26"/>
          <w:szCs w:val="26"/>
        </w:rPr>
      </w:pPr>
    </w:p>
    <w:p w:rsidR="00FA6D99" w:rsidRPr="00C044C2" w:rsidRDefault="00FA6D99" w:rsidP="00FA6D99">
      <w:pPr>
        <w:widowControl w:val="0"/>
        <w:rPr>
          <w:sz w:val="26"/>
          <w:szCs w:val="26"/>
        </w:rPr>
      </w:pPr>
    </w:p>
    <w:p w:rsidR="00FA6D99" w:rsidRPr="00C044C2" w:rsidRDefault="00FA6D99" w:rsidP="00FA6D99">
      <w:pPr>
        <w:widowControl w:val="0"/>
        <w:rPr>
          <w:sz w:val="26"/>
          <w:szCs w:val="26"/>
        </w:rPr>
      </w:pPr>
    </w:p>
    <w:p w:rsidR="00FA6D99" w:rsidRPr="00C044C2" w:rsidRDefault="00FA6D99" w:rsidP="00FA6D99">
      <w:pPr>
        <w:widowControl w:val="0"/>
        <w:rPr>
          <w:sz w:val="26"/>
          <w:szCs w:val="26"/>
        </w:rPr>
      </w:pPr>
    </w:p>
    <w:p w:rsidR="00FA6D99" w:rsidRPr="00C044C2" w:rsidRDefault="00FA6D99" w:rsidP="00FA6D99">
      <w:pPr>
        <w:widowControl w:val="0"/>
        <w:rPr>
          <w:sz w:val="26"/>
          <w:szCs w:val="26"/>
        </w:rPr>
      </w:pPr>
    </w:p>
    <w:p w:rsidR="00FA6D99" w:rsidRPr="00C044C2" w:rsidRDefault="00FA6D99" w:rsidP="00FA6D99">
      <w:pPr>
        <w:widowControl w:val="0"/>
        <w:rPr>
          <w:sz w:val="26"/>
          <w:szCs w:val="26"/>
        </w:rPr>
      </w:pPr>
    </w:p>
    <w:p w:rsidR="00FA6D99" w:rsidRPr="00C044C2" w:rsidRDefault="00FA6D99" w:rsidP="00FA6D99">
      <w:pPr>
        <w:widowControl w:val="0"/>
        <w:rPr>
          <w:sz w:val="26"/>
          <w:szCs w:val="26"/>
        </w:rPr>
      </w:pPr>
    </w:p>
    <w:p w:rsidR="00FA6D99" w:rsidRPr="00C044C2" w:rsidRDefault="00FA6D99" w:rsidP="00FA6D99">
      <w:pPr>
        <w:widowControl w:val="0"/>
        <w:rPr>
          <w:sz w:val="26"/>
          <w:szCs w:val="26"/>
        </w:rPr>
      </w:pPr>
    </w:p>
    <w:p w:rsidR="00FA6D99" w:rsidRPr="00C044C2" w:rsidRDefault="00FA6D99" w:rsidP="00FA6D99">
      <w:pPr>
        <w:widowControl w:val="0"/>
        <w:rPr>
          <w:sz w:val="26"/>
          <w:szCs w:val="26"/>
        </w:rPr>
      </w:pPr>
    </w:p>
    <w:p w:rsidR="00FA6D99" w:rsidRPr="00C044C2" w:rsidRDefault="00FA6D99" w:rsidP="00FA6D99">
      <w:pPr>
        <w:widowControl w:val="0"/>
        <w:rPr>
          <w:sz w:val="26"/>
          <w:szCs w:val="26"/>
        </w:rPr>
      </w:pPr>
    </w:p>
    <w:p w:rsidR="00AE0C1A" w:rsidRPr="00C044C2" w:rsidRDefault="00AE0C1A" w:rsidP="00FA6D99">
      <w:pPr>
        <w:widowControl w:val="0"/>
        <w:rPr>
          <w:sz w:val="26"/>
          <w:szCs w:val="26"/>
        </w:rPr>
      </w:pPr>
    </w:p>
    <w:p w:rsidR="00AE0C1A" w:rsidRPr="00C044C2" w:rsidRDefault="00AE0C1A" w:rsidP="00FA6D99">
      <w:pPr>
        <w:widowControl w:val="0"/>
        <w:rPr>
          <w:sz w:val="26"/>
          <w:szCs w:val="26"/>
        </w:rPr>
      </w:pPr>
    </w:p>
    <w:p w:rsidR="00AE0C1A" w:rsidRPr="00C044C2" w:rsidRDefault="00AE0C1A" w:rsidP="00FA6D99">
      <w:pPr>
        <w:widowControl w:val="0"/>
        <w:rPr>
          <w:sz w:val="26"/>
          <w:szCs w:val="26"/>
        </w:rPr>
      </w:pPr>
    </w:p>
    <w:p w:rsidR="00FA6D99" w:rsidRPr="00C044C2" w:rsidRDefault="00FA6D99" w:rsidP="00FA6D99">
      <w:pPr>
        <w:widowControl w:val="0"/>
        <w:rPr>
          <w:sz w:val="26"/>
          <w:szCs w:val="26"/>
        </w:rPr>
      </w:pPr>
    </w:p>
    <w:p w:rsidR="009B1CF1" w:rsidRPr="00C044C2" w:rsidRDefault="009B1CF1" w:rsidP="006424E1">
      <w:pPr>
        <w:widowControl w:val="0"/>
        <w:rPr>
          <w:sz w:val="26"/>
          <w:szCs w:val="26"/>
        </w:rPr>
      </w:pPr>
    </w:p>
    <w:tbl>
      <w:tblPr>
        <w:tblW w:w="10065" w:type="dxa"/>
        <w:jc w:val="center"/>
        <w:tblLayout w:type="fixed"/>
        <w:tblLook w:val="04A0" w:firstRow="1" w:lastRow="0" w:firstColumn="1" w:lastColumn="0" w:noHBand="0" w:noVBand="1"/>
      </w:tblPr>
      <w:tblGrid>
        <w:gridCol w:w="5528"/>
        <w:gridCol w:w="2552"/>
        <w:gridCol w:w="1985"/>
      </w:tblGrid>
      <w:tr w:rsidR="00E62213" w:rsidRPr="00C044C2" w:rsidTr="001B4818">
        <w:trPr>
          <w:jc w:val="center"/>
        </w:trPr>
        <w:tc>
          <w:tcPr>
            <w:tcW w:w="5528" w:type="dxa"/>
            <w:vAlign w:val="bottom"/>
          </w:tcPr>
          <w:p w:rsidR="00E62213" w:rsidRPr="00C044C2" w:rsidRDefault="00E62213" w:rsidP="00E62213">
            <w:pPr>
              <w:spacing w:line="276" w:lineRule="auto"/>
              <w:rPr>
                <w:sz w:val="24"/>
                <w:szCs w:val="24"/>
                <w:lang w:eastAsia="en-US"/>
              </w:rPr>
            </w:pPr>
          </w:p>
          <w:p w:rsidR="00E62213" w:rsidRPr="00C044C2" w:rsidRDefault="00E62213" w:rsidP="00E62213">
            <w:pPr>
              <w:spacing w:line="276" w:lineRule="auto"/>
              <w:rPr>
                <w:sz w:val="24"/>
                <w:szCs w:val="24"/>
                <w:lang w:eastAsia="en-US"/>
              </w:rPr>
            </w:pPr>
          </w:p>
          <w:p w:rsidR="00E62213" w:rsidRPr="00C044C2" w:rsidRDefault="00E62213" w:rsidP="00E62213">
            <w:pPr>
              <w:spacing w:line="276" w:lineRule="auto"/>
              <w:rPr>
                <w:sz w:val="24"/>
                <w:szCs w:val="24"/>
                <w:lang w:eastAsia="en-US"/>
              </w:rPr>
            </w:pPr>
            <w:r w:rsidRPr="00C044C2">
              <w:rPr>
                <w:sz w:val="24"/>
                <w:lang w:bidi="en-US"/>
              </w:rPr>
              <w:t xml:space="preserve">Head of the Corporate Governance Section  </w:t>
            </w:r>
          </w:p>
        </w:tc>
        <w:tc>
          <w:tcPr>
            <w:tcW w:w="2552" w:type="dxa"/>
            <w:vAlign w:val="bottom"/>
            <w:hideMark/>
          </w:tcPr>
          <w:p w:rsidR="00E62213" w:rsidRPr="00C044C2" w:rsidRDefault="00E62213" w:rsidP="00E62213">
            <w:pPr>
              <w:spacing w:line="276" w:lineRule="auto"/>
              <w:rPr>
                <w:sz w:val="24"/>
                <w:szCs w:val="24"/>
                <w:lang w:eastAsia="en-US"/>
              </w:rPr>
            </w:pPr>
            <w:r w:rsidRPr="00C044C2">
              <w:rPr>
                <w:sz w:val="24"/>
                <w:lang w:bidi="en-US"/>
              </w:rPr>
              <w:t>__________________</w:t>
            </w:r>
          </w:p>
        </w:tc>
        <w:tc>
          <w:tcPr>
            <w:tcW w:w="1985" w:type="dxa"/>
            <w:vAlign w:val="bottom"/>
            <w:hideMark/>
          </w:tcPr>
          <w:p w:rsidR="00E62213" w:rsidRPr="00C044C2" w:rsidRDefault="00E62213" w:rsidP="00E62213">
            <w:pPr>
              <w:spacing w:line="276" w:lineRule="auto"/>
              <w:rPr>
                <w:sz w:val="24"/>
                <w:szCs w:val="24"/>
                <w:lang w:eastAsia="en-US"/>
              </w:rPr>
            </w:pPr>
            <w:r w:rsidRPr="00C044C2">
              <w:rPr>
                <w:sz w:val="24"/>
                <w:lang w:bidi="en-US"/>
              </w:rPr>
              <w:t>L.Yu. Nazarenko</w:t>
            </w:r>
          </w:p>
        </w:tc>
      </w:tr>
      <w:tr w:rsidR="00E62213" w:rsidRPr="00C044C2" w:rsidTr="001B4818">
        <w:trPr>
          <w:jc w:val="center"/>
        </w:trPr>
        <w:tc>
          <w:tcPr>
            <w:tcW w:w="5528" w:type="dxa"/>
            <w:vAlign w:val="bottom"/>
          </w:tcPr>
          <w:p w:rsidR="00E62213" w:rsidRPr="00C044C2" w:rsidRDefault="00E62213" w:rsidP="00E62213">
            <w:pPr>
              <w:spacing w:line="276" w:lineRule="auto"/>
              <w:rPr>
                <w:sz w:val="24"/>
                <w:szCs w:val="24"/>
                <w:lang w:eastAsia="en-US"/>
              </w:rPr>
            </w:pPr>
          </w:p>
          <w:p w:rsidR="00E62213" w:rsidRPr="00C044C2" w:rsidRDefault="00E62213" w:rsidP="00E62213">
            <w:pPr>
              <w:spacing w:line="276" w:lineRule="auto"/>
              <w:rPr>
                <w:sz w:val="24"/>
                <w:szCs w:val="24"/>
                <w:lang w:eastAsia="en-US"/>
              </w:rPr>
            </w:pPr>
          </w:p>
          <w:p w:rsidR="00E62213" w:rsidRPr="00C044C2" w:rsidRDefault="00E62213" w:rsidP="00E62213">
            <w:pPr>
              <w:spacing w:line="276" w:lineRule="auto"/>
              <w:rPr>
                <w:sz w:val="24"/>
                <w:szCs w:val="24"/>
                <w:lang w:eastAsia="en-US"/>
              </w:rPr>
            </w:pPr>
            <w:r w:rsidRPr="00C044C2">
              <w:rPr>
                <w:sz w:val="24"/>
                <w:lang w:bidi="en-US"/>
              </w:rPr>
              <w:t>Head of the Investor Relations Department</w:t>
            </w:r>
          </w:p>
        </w:tc>
        <w:tc>
          <w:tcPr>
            <w:tcW w:w="2552" w:type="dxa"/>
            <w:vAlign w:val="bottom"/>
            <w:hideMark/>
          </w:tcPr>
          <w:p w:rsidR="00E62213" w:rsidRPr="00C044C2" w:rsidRDefault="00E62213" w:rsidP="00E62213">
            <w:pPr>
              <w:spacing w:line="276" w:lineRule="auto"/>
              <w:jc w:val="right"/>
              <w:rPr>
                <w:sz w:val="24"/>
                <w:szCs w:val="24"/>
                <w:lang w:eastAsia="en-US"/>
              </w:rPr>
            </w:pPr>
            <w:r w:rsidRPr="00C044C2">
              <w:rPr>
                <w:sz w:val="24"/>
                <w:lang w:bidi="en-US"/>
              </w:rPr>
              <w:t>__________________</w:t>
            </w:r>
          </w:p>
        </w:tc>
        <w:tc>
          <w:tcPr>
            <w:tcW w:w="1985" w:type="dxa"/>
            <w:vAlign w:val="bottom"/>
            <w:hideMark/>
          </w:tcPr>
          <w:p w:rsidR="00E62213" w:rsidRPr="00C044C2" w:rsidRDefault="00E62213" w:rsidP="00E62213">
            <w:pPr>
              <w:spacing w:line="276" w:lineRule="auto"/>
              <w:rPr>
                <w:sz w:val="24"/>
                <w:szCs w:val="24"/>
                <w:lang w:eastAsia="en-US"/>
              </w:rPr>
            </w:pPr>
            <w:r w:rsidRPr="00C044C2">
              <w:rPr>
                <w:sz w:val="24"/>
                <w:lang w:bidi="en-US"/>
              </w:rPr>
              <w:t>L.V. Vasinyuk</w:t>
            </w:r>
          </w:p>
        </w:tc>
      </w:tr>
    </w:tbl>
    <w:p w:rsidR="009B1CF1" w:rsidRPr="00C044C2" w:rsidRDefault="009B1CF1" w:rsidP="00A42497">
      <w:pPr>
        <w:widowControl w:val="0"/>
        <w:rPr>
          <w:sz w:val="26"/>
          <w:szCs w:val="26"/>
        </w:rPr>
      </w:pPr>
    </w:p>
    <w:sectPr w:rsidR="009B1CF1" w:rsidRPr="00C044C2" w:rsidSect="00AE0C1A">
      <w:footerReference w:type="default" r:id="rId10"/>
      <w:pgSz w:w="11906" w:h="16838" w:code="9"/>
      <w:pgMar w:top="1135" w:right="567" w:bottom="1276"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3C9" w:rsidRDefault="001163C9">
      <w:r>
        <w:separator/>
      </w:r>
    </w:p>
  </w:endnote>
  <w:endnote w:type="continuationSeparator" w:id="0">
    <w:p w:rsidR="001163C9" w:rsidRDefault="0011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894C88"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3C9" w:rsidRDefault="001163C9">
      <w:r>
        <w:separator/>
      </w:r>
    </w:p>
  </w:footnote>
  <w:footnote w:type="continuationSeparator" w:id="0">
    <w:p w:rsidR="001163C9" w:rsidRDefault="001163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534518"/>
    <w:multiLevelType w:val="multilevel"/>
    <w:tmpl w:val="D6005BB6"/>
    <w:lvl w:ilvl="0">
      <w:start w:val="1"/>
      <w:numFmt w:val="bullet"/>
      <w:lvlText w:val="­"/>
      <w:lvlJc w:val="left"/>
      <w:pPr>
        <w:ind w:left="360" w:hanging="360"/>
      </w:pPr>
      <w:rPr>
        <w:rFonts w:ascii="Courier New" w:hAnsi="Courier New"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6" w15:restartNumberingAfterBreak="0">
    <w:nsid w:val="27813D3D"/>
    <w:multiLevelType w:val="hybridMultilevel"/>
    <w:tmpl w:val="B5EA5BDA"/>
    <w:lvl w:ilvl="0" w:tplc="E53A8DA8">
      <w:start w:val="1"/>
      <w:numFmt w:val="decimal"/>
      <w:lvlText w:val="%1."/>
      <w:lvlJc w:val="left"/>
      <w:pPr>
        <w:ind w:left="2204"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7"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15"/>
  </w:num>
  <w:num w:numId="4">
    <w:abstractNumId w:val="13"/>
  </w:num>
  <w:num w:numId="5">
    <w:abstractNumId w:val="11"/>
  </w:num>
  <w:num w:numId="6">
    <w:abstractNumId w:val="8"/>
  </w:num>
  <w:num w:numId="7">
    <w:abstractNumId w:val="16"/>
  </w:num>
  <w:num w:numId="8">
    <w:abstractNumId w:val="3"/>
  </w:num>
  <w:num w:numId="9">
    <w:abstractNumId w:val="1"/>
  </w:num>
  <w:num w:numId="10">
    <w:abstractNumId w:val="17"/>
  </w:num>
  <w:num w:numId="11">
    <w:abstractNumId w:val="14"/>
  </w:num>
  <w:num w:numId="12">
    <w:abstractNumId w:val="9"/>
  </w:num>
  <w:num w:numId="13">
    <w:abstractNumId w:val="4"/>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481C"/>
    <w:rsid w:val="00007D3A"/>
    <w:rsid w:val="00011185"/>
    <w:rsid w:val="00011734"/>
    <w:rsid w:val="00012E90"/>
    <w:rsid w:val="000141D2"/>
    <w:rsid w:val="0001607D"/>
    <w:rsid w:val="0002133B"/>
    <w:rsid w:val="00021B80"/>
    <w:rsid w:val="0002379A"/>
    <w:rsid w:val="0002481D"/>
    <w:rsid w:val="00024D44"/>
    <w:rsid w:val="00032FC4"/>
    <w:rsid w:val="0004418A"/>
    <w:rsid w:val="00046E4B"/>
    <w:rsid w:val="00047FB3"/>
    <w:rsid w:val="00050D4B"/>
    <w:rsid w:val="00055E66"/>
    <w:rsid w:val="00056763"/>
    <w:rsid w:val="00057715"/>
    <w:rsid w:val="00057959"/>
    <w:rsid w:val="000602A6"/>
    <w:rsid w:val="00062C30"/>
    <w:rsid w:val="000656A9"/>
    <w:rsid w:val="00074311"/>
    <w:rsid w:val="00074E64"/>
    <w:rsid w:val="000813B5"/>
    <w:rsid w:val="00081F78"/>
    <w:rsid w:val="00082125"/>
    <w:rsid w:val="00083921"/>
    <w:rsid w:val="000851B0"/>
    <w:rsid w:val="00085C02"/>
    <w:rsid w:val="00090918"/>
    <w:rsid w:val="00097E5D"/>
    <w:rsid w:val="000A4F27"/>
    <w:rsid w:val="000A5DAC"/>
    <w:rsid w:val="000A7613"/>
    <w:rsid w:val="000B1EB5"/>
    <w:rsid w:val="000B6AB6"/>
    <w:rsid w:val="000B6E84"/>
    <w:rsid w:val="000C0B76"/>
    <w:rsid w:val="000C399E"/>
    <w:rsid w:val="000C445D"/>
    <w:rsid w:val="000C4FB7"/>
    <w:rsid w:val="000D0451"/>
    <w:rsid w:val="000D7BE8"/>
    <w:rsid w:val="000E3043"/>
    <w:rsid w:val="001050FA"/>
    <w:rsid w:val="0010588B"/>
    <w:rsid w:val="00107E11"/>
    <w:rsid w:val="001163C9"/>
    <w:rsid w:val="00117CD0"/>
    <w:rsid w:val="00120FEA"/>
    <w:rsid w:val="0012178B"/>
    <w:rsid w:val="00127C31"/>
    <w:rsid w:val="00131018"/>
    <w:rsid w:val="00132DEF"/>
    <w:rsid w:val="00133456"/>
    <w:rsid w:val="001348E4"/>
    <w:rsid w:val="00136789"/>
    <w:rsid w:val="00137C8F"/>
    <w:rsid w:val="00141DF5"/>
    <w:rsid w:val="00142F09"/>
    <w:rsid w:val="00146818"/>
    <w:rsid w:val="00146D3B"/>
    <w:rsid w:val="00150371"/>
    <w:rsid w:val="001573DE"/>
    <w:rsid w:val="00161E21"/>
    <w:rsid w:val="00162671"/>
    <w:rsid w:val="00163362"/>
    <w:rsid w:val="00165397"/>
    <w:rsid w:val="00173ABB"/>
    <w:rsid w:val="00180E8B"/>
    <w:rsid w:val="0018197E"/>
    <w:rsid w:val="001870BA"/>
    <w:rsid w:val="00187BE2"/>
    <w:rsid w:val="00192A92"/>
    <w:rsid w:val="00194C3B"/>
    <w:rsid w:val="001A0AF2"/>
    <w:rsid w:val="001A3D89"/>
    <w:rsid w:val="001A533D"/>
    <w:rsid w:val="001B1FBB"/>
    <w:rsid w:val="001B2261"/>
    <w:rsid w:val="001B4F75"/>
    <w:rsid w:val="001B5A4B"/>
    <w:rsid w:val="001B6DF0"/>
    <w:rsid w:val="001B719D"/>
    <w:rsid w:val="001D0203"/>
    <w:rsid w:val="001D1AD3"/>
    <w:rsid w:val="001D5D5A"/>
    <w:rsid w:val="001D77B0"/>
    <w:rsid w:val="001E05E0"/>
    <w:rsid w:val="001E6580"/>
    <w:rsid w:val="001F2C75"/>
    <w:rsid w:val="001F6A2C"/>
    <w:rsid w:val="002015C8"/>
    <w:rsid w:val="00206DDF"/>
    <w:rsid w:val="00214985"/>
    <w:rsid w:val="00215B25"/>
    <w:rsid w:val="0021713E"/>
    <w:rsid w:val="00221DFC"/>
    <w:rsid w:val="00222B5B"/>
    <w:rsid w:val="00223399"/>
    <w:rsid w:val="002248DD"/>
    <w:rsid w:val="00225AC2"/>
    <w:rsid w:val="00227C44"/>
    <w:rsid w:val="00235643"/>
    <w:rsid w:val="002361F3"/>
    <w:rsid w:val="00237B76"/>
    <w:rsid w:val="002412AD"/>
    <w:rsid w:val="0024582B"/>
    <w:rsid w:val="00255B82"/>
    <w:rsid w:val="002561D5"/>
    <w:rsid w:val="002607D1"/>
    <w:rsid w:val="00261C8B"/>
    <w:rsid w:val="00262DDE"/>
    <w:rsid w:val="00265E89"/>
    <w:rsid w:val="00267762"/>
    <w:rsid w:val="002706F5"/>
    <w:rsid w:val="00270F37"/>
    <w:rsid w:val="00271DC3"/>
    <w:rsid w:val="002775C4"/>
    <w:rsid w:val="002828F0"/>
    <w:rsid w:val="002845A9"/>
    <w:rsid w:val="0029023C"/>
    <w:rsid w:val="00292E3E"/>
    <w:rsid w:val="00296946"/>
    <w:rsid w:val="002A0C7F"/>
    <w:rsid w:val="002A13FC"/>
    <w:rsid w:val="002A32A0"/>
    <w:rsid w:val="002A3438"/>
    <w:rsid w:val="002A41E5"/>
    <w:rsid w:val="002A49A4"/>
    <w:rsid w:val="002A6973"/>
    <w:rsid w:val="002B1CFC"/>
    <w:rsid w:val="002B7793"/>
    <w:rsid w:val="002C127E"/>
    <w:rsid w:val="002C1BD0"/>
    <w:rsid w:val="002C3D78"/>
    <w:rsid w:val="002C55C9"/>
    <w:rsid w:val="002C58D9"/>
    <w:rsid w:val="002D2A9D"/>
    <w:rsid w:val="002D7642"/>
    <w:rsid w:val="002D7725"/>
    <w:rsid w:val="002E558F"/>
    <w:rsid w:val="002E70AE"/>
    <w:rsid w:val="002E772E"/>
    <w:rsid w:val="002E7779"/>
    <w:rsid w:val="002F39D8"/>
    <w:rsid w:val="002F78EB"/>
    <w:rsid w:val="002F7B00"/>
    <w:rsid w:val="00301C84"/>
    <w:rsid w:val="00306FA7"/>
    <w:rsid w:val="00313EA2"/>
    <w:rsid w:val="00316126"/>
    <w:rsid w:val="0031728B"/>
    <w:rsid w:val="00317CA7"/>
    <w:rsid w:val="00320349"/>
    <w:rsid w:val="003337FA"/>
    <w:rsid w:val="00334A77"/>
    <w:rsid w:val="00337C4B"/>
    <w:rsid w:val="003402A3"/>
    <w:rsid w:val="00343D45"/>
    <w:rsid w:val="00346DD9"/>
    <w:rsid w:val="00346EB0"/>
    <w:rsid w:val="00347516"/>
    <w:rsid w:val="00356557"/>
    <w:rsid w:val="00357C3D"/>
    <w:rsid w:val="00357C9E"/>
    <w:rsid w:val="003612CA"/>
    <w:rsid w:val="00363A51"/>
    <w:rsid w:val="00371620"/>
    <w:rsid w:val="00376FB5"/>
    <w:rsid w:val="00385EE1"/>
    <w:rsid w:val="00386D52"/>
    <w:rsid w:val="00396778"/>
    <w:rsid w:val="0039798F"/>
    <w:rsid w:val="003A36D7"/>
    <w:rsid w:val="003A608B"/>
    <w:rsid w:val="003B604D"/>
    <w:rsid w:val="003B72C1"/>
    <w:rsid w:val="003B7E73"/>
    <w:rsid w:val="003B7E7F"/>
    <w:rsid w:val="003C32E0"/>
    <w:rsid w:val="003C5E53"/>
    <w:rsid w:val="003D6CA9"/>
    <w:rsid w:val="003E15D3"/>
    <w:rsid w:val="003E17B2"/>
    <w:rsid w:val="003F02DD"/>
    <w:rsid w:val="003F0E08"/>
    <w:rsid w:val="003F4949"/>
    <w:rsid w:val="003F694E"/>
    <w:rsid w:val="003F7704"/>
    <w:rsid w:val="00401533"/>
    <w:rsid w:val="004043CD"/>
    <w:rsid w:val="004073B5"/>
    <w:rsid w:val="00407877"/>
    <w:rsid w:val="00407B75"/>
    <w:rsid w:val="00411D54"/>
    <w:rsid w:val="00413023"/>
    <w:rsid w:val="00416023"/>
    <w:rsid w:val="00416DDF"/>
    <w:rsid w:val="00423529"/>
    <w:rsid w:val="00424501"/>
    <w:rsid w:val="004338E8"/>
    <w:rsid w:val="00441B1B"/>
    <w:rsid w:val="0044286B"/>
    <w:rsid w:val="00447098"/>
    <w:rsid w:val="0044761A"/>
    <w:rsid w:val="0045025B"/>
    <w:rsid w:val="00460CBC"/>
    <w:rsid w:val="00475624"/>
    <w:rsid w:val="004856C1"/>
    <w:rsid w:val="004869DA"/>
    <w:rsid w:val="00486AE4"/>
    <w:rsid w:val="00491FB5"/>
    <w:rsid w:val="00492C9E"/>
    <w:rsid w:val="004A48C1"/>
    <w:rsid w:val="004B0BF7"/>
    <w:rsid w:val="004B0EFD"/>
    <w:rsid w:val="004B1220"/>
    <w:rsid w:val="004B5FE6"/>
    <w:rsid w:val="004C00A5"/>
    <w:rsid w:val="004C0BD5"/>
    <w:rsid w:val="004C16ED"/>
    <w:rsid w:val="004C3BC3"/>
    <w:rsid w:val="004C627B"/>
    <w:rsid w:val="004D0C72"/>
    <w:rsid w:val="004D1633"/>
    <w:rsid w:val="004E05D6"/>
    <w:rsid w:val="004E5B3C"/>
    <w:rsid w:val="0050302E"/>
    <w:rsid w:val="00504AAC"/>
    <w:rsid w:val="00506C4D"/>
    <w:rsid w:val="005078C5"/>
    <w:rsid w:val="00507927"/>
    <w:rsid w:val="005114A1"/>
    <w:rsid w:val="00515760"/>
    <w:rsid w:val="00516ADD"/>
    <w:rsid w:val="005209AD"/>
    <w:rsid w:val="0052231D"/>
    <w:rsid w:val="00523227"/>
    <w:rsid w:val="00525CE5"/>
    <w:rsid w:val="00525EE1"/>
    <w:rsid w:val="00530519"/>
    <w:rsid w:val="00530804"/>
    <w:rsid w:val="0053133E"/>
    <w:rsid w:val="00533450"/>
    <w:rsid w:val="005355A0"/>
    <w:rsid w:val="00536E4C"/>
    <w:rsid w:val="005373E3"/>
    <w:rsid w:val="00537507"/>
    <w:rsid w:val="00537B64"/>
    <w:rsid w:val="005467ED"/>
    <w:rsid w:val="00551F29"/>
    <w:rsid w:val="00553A01"/>
    <w:rsid w:val="00556C64"/>
    <w:rsid w:val="005603D0"/>
    <w:rsid w:val="00560B4B"/>
    <w:rsid w:val="0056460B"/>
    <w:rsid w:val="00564781"/>
    <w:rsid w:val="00565D4C"/>
    <w:rsid w:val="005729DF"/>
    <w:rsid w:val="00574C1D"/>
    <w:rsid w:val="00576E28"/>
    <w:rsid w:val="00582FAC"/>
    <w:rsid w:val="00583F88"/>
    <w:rsid w:val="00584B98"/>
    <w:rsid w:val="00585E09"/>
    <w:rsid w:val="0058608C"/>
    <w:rsid w:val="005916A5"/>
    <w:rsid w:val="00591A03"/>
    <w:rsid w:val="00595EEF"/>
    <w:rsid w:val="005A2B0C"/>
    <w:rsid w:val="005A5015"/>
    <w:rsid w:val="005A5EF9"/>
    <w:rsid w:val="005B56C7"/>
    <w:rsid w:val="005B7020"/>
    <w:rsid w:val="005C3185"/>
    <w:rsid w:val="005C3E5E"/>
    <w:rsid w:val="005C4EDC"/>
    <w:rsid w:val="005C558A"/>
    <w:rsid w:val="005C6909"/>
    <w:rsid w:val="005D4435"/>
    <w:rsid w:val="005D53F1"/>
    <w:rsid w:val="005F3E1E"/>
    <w:rsid w:val="005F5251"/>
    <w:rsid w:val="00605DA0"/>
    <w:rsid w:val="006132E1"/>
    <w:rsid w:val="00614356"/>
    <w:rsid w:val="006208B2"/>
    <w:rsid w:val="006229AD"/>
    <w:rsid w:val="0063115F"/>
    <w:rsid w:val="0063126E"/>
    <w:rsid w:val="006319DD"/>
    <w:rsid w:val="00634959"/>
    <w:rsid w:val="006353C4"/>
    <w:rsid w:val="006360C9"/>
    <w:rsid w:val="006363E0"/>
    <w:rsid w:val="0063714F"/>
    <w:rsid w:val="00637A02"/>
    <w:rsid w:val="00637AC7"/>
    <w:rsid w:val="00640AF3"/>
    <w:rsid w:val="00640BC3"/>
    <w:rsid w:val="006424E1"/>
    <w:rsid w:val="006520D1"/>
    <w:rsid w:val="00657D6C"/>
    <w:rsid w:val="006600CB"/>
    <w:rsid w:val="00663819"/>
    <w:rsid w:val="006670FF"/>
    <w:rsid w:val="00670373"/>
    <w:rsid w:val="006865A9"/>
    <w:rsid w:val="00686758"/>
    <w:rsid w:val="006907BF"/>
    <w:rsid w:val="00691210"/>
    <w:rsid w:val="00696055"/>
    <w:rsid w:val="00697335"/>
    <w:rsid w:val="006977C3"/>
    <w:rsid w:val="00697B87"/>
    <w:rsid w:val="006A123B"/>
    <w:rsid w:val="006A1C4A"/>
    <w:rsid w:val="006A1F4B"/>
    <w:rsid w:val="006A3379"/>
    <w:rsid w:val="006A3E9C"/>
    <w:rsid w:val="006A7C12"/>
    <w:rsid w:val="006B3338"/>
    <w:rsid w:val="006B4BD6"/>
    <w:rsid w:val="006C1EA4"/>
    <w:rsid w:val="006C7616"/>
    <w:rsid w:val="006D3AB3"/>
    <w:rsid w:val="006D3B5D"/>
    <w:rsid w:val="006E15E5"/>
    <w:rsid w:val="006E6DB5"/>
    <w:rsid w:val="006F1D60"/>
    <w:rsid w:val="006F1FD2"/>
    <w:rsid w:val="00701689"/>
    <w:rsid w:val="007022D8"/>
    <w:rsid w:val="00703A6B"/>
    <w:rsid w:val="00703C22"/>
    <w:rsid w:val="007050B5"/>
    <w:rsid w:val="00705A8F"/>
    <w:rsid w:val="007110B0"/>
    <w:rsid w:val="007122EA"/>
    <w:rsid w:val="00713E28"/>
    <w:rsid w:val="00716858"/>
    <w:rsid w:val="00716D27"/>
    <w:rsid w:val="00717033"/>
    <w:rsid w:val="00717ABB"/>
    <w:rsid w:val="007203A3"/>
    <w:rsid w:val="00721303"/>
    <w:rsid w:val="007216BE"/>
    <w:rsid w:val="00723641"/>
    <w:rsid w:val="00723E2E"/>
    <w:rsid w:val="00731CC4"/>
    <w:rsid w:val="00734AF6"/>
    <w:rsid w:val="00735D5D"/>
    <w:rsid w:val="007369DA"/>
    <w:rsid w:val="00742946"/>
    <w:rsid w:val="00743B92"/>
    <w:rsid w:val="00750941"/>
    <w:rsid w:val="00756E1E"/>
    <w:rsid w:val="00762A03"/>
    <w:rsid w:val="00764B7B"/>
    <w:rsid w:val="00765DA1"/>
    <w:rsid w:val="00766F00"/>
    <w:rsid w:val="0076700C"/>
    <w:rsid w:val="00767714"/>
    <w:rsid w:val="00771E06"/>
    <w:rsid w:val="00775E7C"/>
    <w:rsid w:val="0078008D"/>
    <w:rsid w:val="0079397C"/>
    <w:rsid w:val="007945DF"/>
    <w:rsid w:val="00796375"/>
    <w:rsid w:val="0079640C"/>
    <w:rsid w:val="00796BA5"/>
    <w:rsid w:val="007A1F2C"/>
    <w:rsid w:val="007A4DB8"/>
    <w:rsid w:val="007A6CF7"/>
    <w:rsid w:val="007A7B0D"/>
    <w:rsid w:val="007A7F11"/>
    <w:rsid w:val="007B0114"/>
    <w:rsid w:val="007B1744"/>
    <w:rsid w:val="007B26AD"/>
    <w:rsid w:val="007B43C9"/>
    <w:rsid w:val="007B6745"/>
    <w:rsid w:val="007D32C7"/>
    <w:rsid w:val="007E0744"/>
    <w:rsid w:val="007E4729"/>
    <w:rsid w:val="007E65D9"/>
    <w:rsid w:val="007E6942"/>
    <w:rsid w:val="007E759D"/>
    <w:rsid w:val="007F507F"/>
    <w:rsid w:val="007F6307"/>
    <w:rsid w:val="007F6CDF"/>
    <w:rsid w:val="008001E6"/>
    <w:rsid w:val="008002A4"/>
    <w:rsid w:val="008043E8"/>
    <w:rsid w:val="00804698"/>
    <w:rsid w:val="00806EBB"/>
    <w:rsid w:val="00807229"/>
    <w:rsid w:val="00812FE1"/>
    <w:rsid w:val="00813837"/>
    <w:rsid w:val="0081736C"/>
    <w:rsid w:val="00823DFE"/>
    <w:rsid w:val="00825DC2"/>
    <w:rsid w:val="008300EB"/>
    <w:rsid w:val="00834D60"/>
    <w:rsid w:val="00836D46"/>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1FF9"/>
    <w:rsid w:val="0088600A"/>
    <w:rsid w:val="00886699"/>
    <w:rsid w:val="00886850"/>
    <w:rsid w:val="008905EC"/>
    <w:rsid w:val="00891DD0"/>
    <w:rsid w:val="00892274"/>
    <w:rsid w:val="0089246E"/>
    <w:rsid w:val="00892895"/>
    <w:rsid w:val="0089434C"/>
    <w:rsid w:val="00894C88"/>
    <w:rsid w:val="008965D3"/>
    <w:rsid w:val="008974B7"/>
    <w:rsid w:val="008A0F78"/>
    <w:rsid w:val="008A1EE1"/>
    <w:rsid w:val="008A470A"/>
    <w:rsid w:val="008A5A50"/>
    <w:rsid w:val="008A7580"/>
    <w:rsid w:val="008B0AD9"/>
    <w:rsid w:val="008B0F6E"/>
    <w:rsid w:val="008B2B30"/>
    <w:rsid w:val="008C3CC2"/>
    <w:rsid w:val="008C41D3"/>
    <w:rsid w:val="008C5C57"/>
    <w:rsid w:val="008D2D4C"/>
    <w:rsid w:val="008D5BEC"/>
    <w:rsid w:val="008D7A57"/>
    <w:rsid w:val="008E36A9"/>
    <w:rsid w:val="008E3712"/>
    <w:rsid w:val="008E399A"/>
    <w:rsid w:val="008E51CC"/>
    <w:rsid w:val="008E5D0F"/>
    <w:rsid w:val="008F038F"/>
    <w:rsid w:val="008F182A"/>
    <w:rsid w:val="008F3ADC"/>
    <w:rsid w:val="008F41BE"/>
    <w:rsid w:val="008F4DF9"/>
    <w:rsid w:val="008F6B41"/>
    <w:rsid w:val="00901596"/>
    <w:rsid w:val="009015C6"/>
    <w:rsid w:val="00902F4E"/>
    <w:rsid w:val="00903C2F"/>
    <w:rsid w:val="00903E03"/>
    <w:rsid w:val="00904AAB"/>
    <w:rsid w:val="00907FFA"/>
    <w:rsid w:val="00914ECD"/>
    <w:rsid w:val="00916BE3"/>
    <w:rsid w:val="00922D00"/>
    <w:rsid w:val="00922D30"/>
    <w:rsid w:val="0092667C"/>
    <w:rsid w:val="009269B5"/>
    <w:rsid w:val="00930CD8"/>
    <w:rsid w:val="009320AA"/>
    <w:rsid w:val="00937951"/>
    <w:rsid w:val="00944BC9"/>
    <w:rsid w:val="00945D2F"/>
    <w:rsid w:val="00946CEA"/>
    <w:rsid w:val="00956F10"/>
    <w:rsid w:val="00961BA5"/>
    <w:rsid w:val="00964EF5"/>
    <w:rsid w:val="009673C3"/>
    <w:rsid w:val="00982D15"/>
    <w:rsid w:val="009863D7"/>
    <w:rsid w:val="009863F3"/>
    <w:rsid w:val="00987277"/>
    <w:rsid w:val="00987A06"/>
    <w:rsid w:val="00992105"/>
    <w:rsid w:val="009971B4"/>
    <w:rsid w:val="009973E1"/>
    <w:rsid w:val="009974E3"/>
    <w:rsid w:val="009979BE"/>
    <w:rsid w:val="009A2EF6"/>
    <w:rsid w:val="009A4E47"/>
    <w:rsid w:val="009A6931"/>
    <w:rsid w:val="009A6B16"/>
    <w:rsid w:val="009B1CF1"/>
    <w:rsid w:val="009B2182"/>
    <w:rsid w:val="009B541B"/>
    <w:rsid w:val="009B5590"/>
    <w:rsid w:val="009B5982"/>
    <w:rsid w:val="009C04F8"/>
    <w:rsid w:val="009C184E"/>
    <w:rsid w:val="009C4D8E"/>
    <w:rsid w:val="009D1F70"/>
    <w:rsid w:val="009D3C02"/>
    <w:rsid w:val="009D428D"/>
    <w:rsid w:val="009D48BD"/>
    <w:rsid w:val="009D4BD9"/>
    <w:rsid w:val="009D7633"/>
    <w:rsid w:val="009E5C35"/>
    <w:rsid w:val="009E790D"/>
    <w:rsid w:val="009F090C"/>
    <w:rsid w:val="009F0967"/>
    <w:rsid w:val="009F1033"/>
    <w:rsid w:val="009F42B1"/>
    <w:rsid w:val="009F5176"/>
    <w:rsid w:val="009F672B"/>
    <w:rsid w:val="00A102B6"/>
    <w:rsid w:val="00A12521"/>
    <w:rsid w:val="00A1588F"/>
    <w:rsid w:val="00A25119"/>
    <w:rsid w:val="00A34CAC"/>
    <w:rsid w:val="00A40E79"/>
    <w:rsid w:val="00A4119C"/>
    <w:rsid w:val="00A42497"/>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6526"/>
    <w:rsid w:val="00A96C65"/>
    <w:rsid w:val="00AA0A95"/>
    <w:rsid w:val="00AA34B2"/>
    <w:rsid w:val="00AA608A"/>
    <w:rsid w:val="00AA66FB"/>
    <w:rsid w:val="00AB0A52"/>
    <w:rsid w:val="00AB4407"/>
    <w:rsid w:val="00AB71E5"/>
    <w:rsid w:val="00AC32C3"/>
    <w:rsid w:val="00AC3FC7"/>
    <w:rsid w:val="00AD7F51"/>
    <w:rsid w:val="00AE0C1A"/>
    <w:rsid w:val="00AF2401"/>
    <w:rsid w:val="00AF4177"/>
    <w:rsid w:val="00AF4C69"/>
    <w:rsid w:val="00AF4EE5"/>
    <w:rsid w:val="00AF5BC4"/>
    <w:rsid w:val="00B02E8D"/>
    <w:rsid w:val="00B0617A"/>
    <w:rsid w:val="00B12CD1"/>
    <w:rsid w:val="00B229A4"/>
    <w:rsid w:val="00B22B20"/>
    <w:rsid w:val="00B25010"/>
    <w:rsid w:val="00B332E2"/>
    <w:rsid w:val="00B377BF"/>
    <w:rsid w:val="00B41737"/>
    <w:rsid w:val="00B4315B"/>
    <w:rsid w:val="00B452F6"/>
    <w:rsid w:val="00B46585"/>
    <w:rsid w:val="00B50689"/>
    <w:rsid w:val="00B5116F"/>
    <w:rsid w:val="00B6258B"/>
    <w:rsid w:val="00B6499C"/>
    <w:rsid w:val="00B66FB9"/>
    <w:rsid w:val="00B67611"/>
    <w:rsid w:val="00B712FB"/>
    <w:rsid w:val="00B71445"/>
    <w:rsid w:val="00B71D88"/>
    <w:rsid w:val="00B7415E"/>
    <w:rsid w:val="00B8098A"/>
    <w:rsid w:val="00B82AA7"/>
    <w:rsid w:val="00B91D6A"/>
    <w:rsid w:val="00B964E5"/>
    <w:rsid w:val="00BA70AF"/>
    <w:rsid w:val="00BA73E6"/>
    <w:rsid w:val="00BA75E7"/>
    <w:rsid w:val="00BB44AD"/>
    <w:rsid w:val="00BB630E"/>
    <w:rsid w:val="00BB7E12"/>
    <w:rsid w:val="00BE206B"/>
    <w:rsid w:val="00BE2660"/>
    <w:rsid w:val="00BE601E"/>
    <w:rsid w:val="00BE7B4A"/>
    <w:rsid w:val="00BF2365"/>
    <w:rsid w:val="00BF677A"/>
    <w:rsid w:val="00C044C2"/>
    <w:rsid w:val="00C054C8"/>
    <w:rsid w:val="00C14112"/>
    <w:rsid w:val="00C204F0"/>
    <w:rsid w:val="00C242A2"/>
    <w:rsid w:val="00C249D2"/>
    <w:rsid w:val="00C40593"/>
    <w:rsid w:val="00C41096"/>
    <w:rsid w:val="00C45775"/>
    <w:rsid w:val="00C50232"/>
    <w:rsid w:val="00C51BD7"/>
    <w:rsid w:val="00C531A3"/>
    <w:rsid w:val="00C53C01"/>
    <w:rsid w:val="00C55047"/>
    <w:rsid w:val="00C5525C"/>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1182"/>
    <w:rsid w:val="00CB267B"/>
    <w:rsid w:val="00CB4F21"/>
    <w:rsid w:val="00CB5C12"/>
    <w:rsid w:val="00CC177E"/>
    <w:rsid w:val="00CC269F"/>
    <w:rsid w:val="00CC3B85"/>
    <w:rsid w:val="00CC5D9C"/>
    <w:rsid w:val="00CC6EAB"/>
    <w:rsid w:val="00CC7FE4"/>
    <w:rsid w:val="00CD04FE"/>
    <w:rsid w:val="00CD2797"/>
    <w:rsid w:val="00CD5625"/>
    <w:rsid w:val="00CD5C52"/>
    <w:rsid w:val="00CD6B27"/>
    <w:rsid w:val="00CD726E"/>
    <w:rsid w:val="00CD7D78"/>
    <w:rsid w:val="00CE3B56"/>
    <w:rsid w:val="00CF1FD8"/>
    <w:rsid w:val="00CF39A8"/>
    <w:rsid w:val="00CF4014"/>
    <w:rsid w:val="00D02937"/>
    <w:rsid w:val="00D052CF"/>
    <w:rsid w:val="00D059D9"/>
    <w:rsid w:val="00D075ED"/>
    <w:rsid w:val="00D07F84"/>
    <w:rsid w:val="00D107C1"/>
    <w:rsid w:val="00D129A2"/>
    <w:rsid w:val="00D1381A"/>
    <w:rsid w:val="00D14A2A"/>
    <w:rsid w:val="00D1700F"/>
    <w:rsid w:val="00D2272B"/>
    <w:rsid w:val="00D23DB8"/>
    <w:rsid w:val="00D25627"/>
    <w:rsid w:val="00D26795"/>
    <w:rsid w:val="00D27853"/>
    <w:rsid w:val="00D35953"/>
    <w:rsid w:val="00D362FB"/>
    <w:rsid w:val="00D405F0"/>
    <w:rsid w:val="00D44887"/>
    <w:rsid w:val="00D44C1D"/>
    <w:rsid w:val="00D53E09"/>
    <w:rsid w:val="00D554D4"/>
    <w:rsid w:val="00D5619F"/>
    <w:rsid w:val="00D56AE2"/>
    <w:rsid w:val="00D60B94"/>
    <w:rsid w:val="00D652A0"/>
    <w:rsid w:val="00D65CE3"/>
    <w:rsid w:val="00D660CC"/>
    <w:rsid w:val="00D722F2"/>
    <w:rsid w:val="00D724DC"/>
    <w:rsid w:val="00D7383C"/>
    <w:rsid w:val="00D804AE"/>
    <w:rsid w:val="00D872AB"/>
    <w:rsid w:val="00D877EE"/>
    <w:rsid w:val="00D92C0B"/>
    <w:rsid w:val="00D96A4D"/>
    <w:rsid w:val="00D96EE6"/>
    <w:rsid w:val="00D97A1C"/>
    <w:rsid w:val="00DA1767"/>
    <w:rsid w:val="00DA1EBC"/>
    <w:rsid w:val="00DA5519"/>
    <w:rsid w:val="00DA715F"/>
    <w:rsid w:val="00DB340E"/>
    <w:rsid w:val="00DB4914"/>
    <w:rsid w:val="00DB6623"/>
    <w:rsid w:val="00DB6EE7"/>
    <w:rsid w:val="00DB74C1"/>
    <w:rsid w:val="00DC1453"/>
    <w:rsid w:val="00DC1F7B"/>
    <w:rsid w:val="00DC2DC4"/>
    <w:rsid w:val="00DC42FC"/>
    <w:rsid w:val="00DD43DB"/>
    <w:rsid w:val="00DD6F42"/>
    <w:rsid w:val="00DD7E7D"/>
    <w:rsid w:val="00DE0FA5"/>
    <w:rsid w:val="00DE4E4C"/>
    <w:rsid w:val="00DF1E75"/>
    <w:rsid w:val="00DF59EB"/>
    <w:rsid w:val="00DF6596"/>
    <w:rsid w:val="00E00F78"/>
    <w:rsid w:val="00E015C9"/>
    <w:rsid w:val="00E03E80"/>
    <w:rsid w:val="00E05EB4"/>
    <w:rsid w:val="00E10013"/>
    <w:rsid w:val="00E12CEB"/>
    <w:rsid w:val="00E13D20"/>
    <w:rsid w:val="00E1644C"/>
    <w:rsid w:val="00E2065A"/>
    <w:rsid w:val="00E20C2F"/>
    <w:rsid w:val="00E240C8"/>
    <w:rsid w:val="00E275B5"/>
    <w:rsid w:val="00E32141"/>
    <w:rsid w:val="00E33CAE"/>
    <w:rsid w:val="00E355AE"/>
    <w:rsid w:val="00E36433"/>
    <w:rsid w:val="00E369EF"/>
    <w:rsid w:val="00E3749A"/>
    <w:rsid w:val="00E40790"/>
    <w:rsid w:val="00E41263"/>
    <w:rsid w:val="00E420A2"/>
    <w:rsid w:val="00E44563"/>
    <w:rsid w:val="00E516CE"/>
    <w:rsid w:val="00E54702"/>
    <w:rsid w:val="00E62213"/>
    <w:rsid w:val="00E65345"/>
    <w:rsid w:val="00E65EF7"/>
    <w:rsid w:val="00E66BA7"/>
    <w:rsid w:val="00E7424B"/>
    <w:rsid w:val="00E76258"/>
    <w:rsid w:val="00E77A3C"/>
    <w:rsid w:val="00E84585"/>
    <w:rsid w:val="00E935E4"/>
    <w:rsid w:val="00E937D9"/>
    <w:rsid w:val="00E945A1"/>
    <w:rsid w:val="00E94825"/>
    <w:rsid w:val="00E95660"/>
    <w:rsid w:val="00EA092A"/>
    <w:rsid w:val="00EA4F6F"/>
    <w:rsid w:val="00EB02AD"/>
    <w:rsid w:val="00EB1289"/>
    <w:rsid w:val="00EB1DC5"/>
    <w:rsid w:val="00EB2EF2"/>
    <w:rsid w:val="00EB2F43"/>
    <w:rsid w:val="00EB5E3A"/>
    <w:rsid w:val="00EC1B99"/>
    <w:rsid w:val="00EC2726"/>
    <w:rsid w:val="00EC3F0F"/>
    <w:rsid w:val="00EC6010"/>
    <w:rsid w:val="00ED019F"/>
    <w:rsid w:val="00ED4B82"/>
    <w:rsid w:val="00ED505D"/>
    <w:rsid w:val="00ED6FAC"/>
    <w:rsid w:val="00EE0154"/>
    <w:rsid w:val="00EE058E"/>
    <w:rsid w:val="00EE0DAA"/>
    <w:rsid w:val="00EE4798"/>
    <w:rsid w:val="00EE6A8C"/>
    <w:rsid w:val="00EE74CE"/>
    <w:rsid w:val="00EF0C42"/>
    <w:rsid w:val="00EF6B92"/>
    <w:rsid w:val="00F0230D"/>
    <w:rsid w:val="00F02859"/>
    <w:rsid w:val="00F05D12"/>
    <w:rsid w:val="00F10DEB"/>
    <w:rsid w:val="00F12F6F"/>
    <w:rsid w:val="00F17D37"/>
    <w:rsid w:val="00F204C1"/>
    <w:rsid w:val="00F210B1"/>
    <w:rsid w:val="00F214B1"/>
    <w:rsid w:val="00F261BB"/>
    <w:rsid w:val="00F2756A"/>
    <w:rsid w:val="00F32D7D"/>
    <w:rsid w:val="00F34713"/>
    <w:rsid w:val="00F359E2"/>
    <w:rsid w:val="00F367BC"/>
    <w:rsid w:val="00F435AB"/>
    <w:rsid w:val="00F4509D"/>
    <w:rsid w:val="00F51746"/>
    <w:rsid w:val="00F553DE"/>
    <w:rsid w:val="00F64F2F"/>
    <w:rsid w:val="00F658CF"/>
    <w:rsid w:val="00F704A8"/>
    <w:rsid w:val="00F725F7"/>
    <w:rsid w:val="00F81C3B"/>
    <w:rsid w:val="00F924AC"/>
    <w:rsid w:val="00F939DB"/>
    <w:rsid w:val="00F97685"/>
    <w:rsid w:val="00F979F4"/>
    <w:rsid w:val="00FA1520"/>
    <w:rsid w:val="00FA3261"/>
    <w:rsid w:val="00FA57DA"/>
    <w:rsid w:val="00FA5B67"/>
    <w:rsid w:val="00FA6D99"/>
    <w:rsid w:val="00FA746B"/>
    <w:rsid w:val="00FA7FCB"/>
    <w:rsid w:val="00FB39DC"/>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A5DE2-1B5B-4AA3-9B17-1C7CF8E89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5</Pages>
  <Words>1671</Words>
  <Characters>8991</Characters>
  <Application>Microsoft Office Word</Application>
  <DocSecurity>0</DocSecurity>
  <Lines>272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user1</cp:lastModifiedBy>
  <cp:revision>201</cp:revision>
  <cp:lastPrinted>2020-03-18T11:23:00Z</cp:lastPrinted>
  <dcterms:created xsi:type="dcterms:W3CDTF">2020-05-29T06:00:00Z</dcterms:created>
  <dcterms:modified xsi:type="dcterms:W3CDTF">2020-12-28T12:59:00Z</dcterms:modified>
</cp:coreProperties>
</file>